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28D8C" w14:textId="621CA02A" w:rsidR="2BE0146E" w:rsidRPr="0028779A" w:rsidRDefault="51219CE6" w:rsidP="5BC97894">
      <w:pPr>
        <w:rPr>
          <w:rFonts w:ascii="Centaur" w:eastAsia="Avenir Next LT Pro" w:hAnsi="Centaur" w:cs="Avenir Next LT Pro"/>
          <w:b/>
          <w:bCs/>
          <w:sz w:val="28"/>
          <w:szCs w:val="28"/>
        </w:rPr>
      </w:pPr>
      <w:r w:rsidRPr="0028779A">
        <w:rPr>
          <w:rFonts w:ascii="Centaur" w:eastAsia="Avenir Next LT Pro" w:hAnsi="Centaur" w:cs="Avenir Next LT Pro"/>
          <w:b/>
          <w:bCs/>
          <w:sz w:val="28"/>
          <w:szCs w:val="28"/>
        </w:rPr>
        <w:t>Course Designation Criteria</w:t>
      </w:r>
    </w:p>
    <w:p w14:paraId="69D6F5A7" w14:textId="31850795" w:rsidR="2BE0146E" w:rsidRPr="0028779A" w:rsidRDefault="2BE0146E" w:rsidP="5BC97894">
      <w:pPr>
        <w:spacing w:line="240" w:lineRule="exact"/>
        <w:rPr>
          <w:rFonts w:ascii="Centaur" w:eastAsia="Avenir Next" w:hAnsi="Centaur" w:cs="Avenir Next"/>
          <w:b/>
          <w:bCs/>
          <w:color w:val="000000" w:themeColor="text1"/>
        </w:rPr>
      </w:pPr>
    </w:p>
    <w:tbl>
      <w:tblPr>
        <w:tblStyle w:val="ListTable3-Accent6"/>
        <w:tblW w:w="9360" w:type="dxa"/>
        <w:tblInd w:w="165" w:type="dxa"/>
        <w:tblLayout w:type="fixed"/>
        <w:tblLook w:val="06A0" w:firstRow="1" w:lastRow="0" w:firstColumn="1" w:lastColumn="0" w:noHBand="1" w:noVBand="1"/>
      </w:tblPr>
      <w:tblGrid>
        <w:gridCol w:w="1545"/>
        <w:gridCol w:w="3865"/>
        <w:gridCol w:w="3950"/>
      </w:tblGrid>
      <w:tr w:rsidR="00D32942" w:rsidRPr="0028779A" w14:paraId="4E3CB5CD" w14:textId="77777777" w:rsidTr="00D3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DB102" w14:textId="55827436" w:rsidR="5BC97894" w:rsidRPr="0028779A" w:rsidRDefault="5BC97894" w:rsidP="0028779A">
            <w:pPr>
              <w:spacing w:line="259" w:lineRule="auto"/>
              <w:jc w:val="center"/>
              <w:rPr>
                <w:rFonts w:ascii="Centaur" w:hAnsi="Centaur"/>
                <w:color w:val="auto"/>
                <w:sz w:val="32"/>
              </w:rPr>
            </w:pPr>
            <w:r w:rsidRPr="0028779A">
              <w:rPr>
                <w:rFonts w:ascii="Centaur" w:eastAsia="Avenir Next" w:hAnsi="Centaur" w:cs="Avenir Next"/>
                <w:color w:val="auto"/>
                <w:sz w:val="32"/>
              </w:rPr>
              <w:t>Community-Engaged Learning Course Designation Criteria</w:t>
            </w:r>
          </w:p>
        </w:tc>
      </w:tr>
      <w:tr w:rsidR="00D32942" w:rsidRPr="0028779A" w14:paraId="1BEDEAE6" w14:textId="77777777" w:rsidTr="00D3294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E180EDF" w14:textId="4E7D979A" w:rsidR="5BC97894" w:rsidRPr="0028779A" w:rsidRDefault="5BC97894" w:rsidP="0028779A">
            <w:pPr>
              <w:spacing w:before="20" w:after="100" w:afterAutospacing="1" w:line="259" w:lineRule="auto"/>
              <w:rPr>
                <w:rFonts w:ascii="Centaur" w:hAnsi="Centaur"/>
                <w:sz w:val="28"/>
              </w:rPr>
            </w:pPr>
            <w:r w:rsidRPr="0028779A">
              <w:rPr>
                <w:rFonts w:ascii="Centaur" w:eastAsia="Avenir Next" w:hAnsi="Centaur" w:cs="Avenir Next"/>
                <w:color w:val="000000" w:themeColor="text1"/>
                <w:sz w:val="28"/>
                <w:szCs w:val="21"/>
              </w:rPr>
              <w:t>Designation</w:t>
            </w:r>
          </w:p>
        </w:tc>
        <w:tc>
          <w:tcPr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6088F6F4" w14:textId="35BC5772" w:rsidR="5BC97894" w:rsidRPr="0028779A" w:rsidRDefault="5BC97894" w:rsidP="0028779A">
            <w:pPr>
              <w:spacing w:before="20" w:after="100" w:afterAutospacing="1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hAnsi="Centaur"/>
                <w:sz w:val="28"/>
              </w:rPr>
            </w:pPr>
            <w:r w:rsidRPr="0028779A">
              <w:rPr>
                <w:rFonts w:ascii="Centaur" w:eastAsia="Avenir Next" w:hAnsi="Centaur" w:cs="Avenir Next"/>
                <w:b/>
                <w:bCs/>
                <w:color w:val="000000" w:themeColor="text1"/>
                <w:sz w:val="28"/>
                <w:szCs w:val="21"/>
              </w:rPr>
              <w:t>Possible Types</w:t>
            </w:r>
          </w:p>
        </w:tc>
        <w:tc>
          <w:tcPr>
            <w:tcW w:w="3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49FBE74" w14:textId="35EC4B4C" w:rsidR="5BC97894" w:rsidRPr="0028779A" w:rsidRDefault="5BC97894" w:rsidP="0028779A">
            <w:pPr>
              <w:spacing w:before="20" w:after="100" w:afterAutospacing="1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hAnsi="Centaur"/>
                <w:sz w:val="28"/>
              </w:rPr>
            </w:pPr>
            <w:r w:rsidRPr="0028779A">
              <w:rPr>
                <w:rFonts w:ascii="Centaur" w:eastAsia="Avenir Next" w:hAnsi="Centaur" w:cs="Avenir Next"/>
                <w:b/>
                <w:bCs/>
                <w:color w:val="000000" w:themeColor="text1"/>
                <w:sz w:val="28"/>
                <w:szCs w:val="21"/>
              </w:rPr>
              <w:t>Criteria</w:t>
            </w:r>
          </w:p>
        </w:tc>
      </w:tr>
      <w:tr w:rsidR="00D32942" w:rsidRPr="0028779A" w14:paraId="5C1D8813" w14:textId="77777777" w:rsidTr="00D329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70AD47" w:themeColor="accent6"/>
              <w:right w:val="single" w:sz="8" w:space="0" w:color="A8D08D" w:themeColor="accent6" w:themeTint="99"/>
            </w:tcBorders>
            <w:vAlign w:val="center"/>
          </w:tcPr>
          <w:p w14:paraId="58345E65" w14:textId="4A5F3575" w:rsidR="5BC97894" w:rsidRPr="0028779A" w:rsidRDefault="0028779A" w:rsidP="0028779A">
            <w:pPr>
              <w:rPr>
                <w:rFonts w:ascii="Centaur" w:hAnsi="Centaur"/>
                <w:sz w:val="36"/>
              </w:rPr>
            </w:pPr>
            <w:r>
              <w:rPr>
                <w:rFonts w:ascii="Centaur" w:eastAsia="Avenir Next" w:hAnsi="Centaur" w:cs="Avenir Next"/>
                <w:color w:val="000000" w:themeColor="text1"/>
                <w:sz w:val="32"/>
                <w:szCs w:val="21"/>
              </w:rPr>
              <w:t xml:space="preserve">Civic </w:t>
            </w:r>
            <w:r w:rsidR="5BC97894" w:rsidRPr="0028779A">
              <w:rPr>
                <w:rFonts w:ascii="Centaur" w:eastAsia="Avenir Next" w:hAnsi="Centaur" w:cs="Avenir Next"/>
                <w:color w:val="000000" w:themeColor="text1"/>
                <w:sz w:val="32"/>
                <w:szCs w:val="21"/>
              </w:rPr>
              <w:t>Learning</w:t>
            </w:r>
          </w:p>
          <w:p w14:paraId="1731378E" w14:textId="5DCDD1E1" w:rsidR="5BC97894" w:rsidRPr="0028779A" w:rsidRDefault="5BC97894" w:rsidP="0028779A">
            <w:pPr>
              <w:rPr>
                <w:rFonts w:ascii="Centaur" w:hAnsi="Centaur"/>
              </w:rPr>
            </w:pPr>
            <w:r w:rsidRPr="0028779A">
              <w:rPr>
                <w:rFonts w:ascii="Centaur" w:eastAsia="Avenir Next" w:hAnsi="Centaur" w:cs="Avenir Next"/>
                <w:color w:val="000000" w:themeColor="text1"/>
                <w:sz w:val="32"/>
                <w:szCs w:val="21"/>
              </w:rPr>
              <w:t>(CL)</w:t>
            </w:r>
          </w:p>
        </w:tc>
        <w:tc>
          <w:tcPr>
            <w:tcW w:w="3865" w:type="dxa"/>
            <w:tcBorders>
              <w:top w:val="single" w:sz="12" w:space="0" w:color="auto"/>
              <w:left w:val="single" w:sz="8" w:space="0" w:color="A8D08D" w:themeColor="accent6" w:themeTint="99"/>
              <w:bottom w:val="nil"/>
              <w:right w:val="single" w:sz="8" w:space="0" w:color="A8D08D" w:themeColor="accent6" w:themeTint="99"/>
            </w:tcBorders>
            <w:vAlign w:val="center"/>
          </w:tcPr>
          <w:p w14:paraId="65701F63" w14:textId="7B2FA85A" w:rsidR="5BC97894" w:rsidRPr="0028779A" w:rsidRDefault="5BC97894" w:rsidP="00D3294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hAnsi="Centaur"/>
              </w:rPr>
            </w:pPr>
            <w:r w:rsidRPr="0028779A">
              <w:rPr>
                <w:rFonts w:ascii="Centaur" w:eastAsia="Avenir Next" w:hAnsi="Centaur" w:cs="Avenir Next"/>
                <w:b/>
                <w:bCs/>
                <w:sz w:val="21"/>
                <w:szCs w:val="21"/>
              </w:rPr>
              <w:t>Civic Foundations</w:t>
            </w:r>
          </w:p>
          <w:p w14:paraId="225F2C72" w14:textId="7723D5A3" w:rsidR="5BC97894" w:rsidRPr="0028779A" w:rsidRDefault="5BC97894" w:rsidP="00874026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hAnsi="Centaur"/>
              </w:rPr>
            </w:pPr>
            <w:r w:rsidRPr="0028779A">
              <w:rPr>
                <w:rFonts w:ascii="Centaur" w:eastAsia="Avenir Next" w:hAnsi="Centaur" w:cs="Avenir Next"/>
                <w:sz w:val="21"/>
                <w:szCs w:val="21"/>
              </w:rPr>
              <w:t xml:space="preserve">Students </w:t>
            </w:r>
            <w:r w:rsidR="00874026">
              <w:rPr>
                <w:rFonts w:ascii="Centaur" w:eastAsia="Avenir Next" w:hAnsi="Centaur" w:cs="Avenir Next"/>
                <w:sz w:val="21"/>
                <w:szCs w:val="21"/>
              </w:rPr>
              <w:t>prepare</w:t>
            </w:r>
            <w:r w:rsidRPr="0028779A">
              <w:rPr>
                <w:rFonts w:ascii="Centaur" w:eastAsia="Avenir Next" w:hAnsi="Centaur" w:cs="Avenir Next"/>
                <w:sz w:val="21"/>
                <w:szCs w:val="21"/>
              </w:rPr>
              <w:t xml:space="preserve"> for civic participation, active citizenship and/or involvement in communities.</w:t>
            </w:r>
          </w:p>
        </w:tc>
        <w:tc>
          <w:tcPr>
            <w:tcW w:w="3950" w:type="dxa"/>
            <w:vMerge w:val="restart"/>
            <w:tcBorders>
              <w:top w:val="single" w:sz="12" w:space="0" w:color="auto"/>
              <w:left w:val="single" w:sz="8" w:space="0" w:color="A8D08D" w:themeColor="accent6" w:themeTint="99"/>
              <w:bottom w:val="single" w:sz="8" w:space="0" w:color="70AD47" w:themeColor="accent6"/>
              <w:right w:val="single" w:sz="12" w:space="0" w:color="auto"/>
            </w:tcBorders>
            <w:vAlign w:val="center"/>
          </w:tcPr>
          <w:p w14:paraId="2EFF2979" w14:textId="7BF6C234" w:rsidR="5BC97894" w:rsidRPr="0028779A" w:rsidRDefault="5BC97894" w:rsidP="00D32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hAnsi="Centaur"/>
              </w:rPr>
            </w:pPr>
            <w:r w:rsidRPr="0028779A">
              <w:rPr>
                <w:rFonts w:ascii="Centaur" w:eastAsia="Avenir Next" w:hAnsi="Centaur" w:cs="Avenir Next"/>
                <w:sz w:val="21"/>
                <w:szCs w:val="21"/>
              </w:rPr>
              <w:t>Credit-bearing course that:</w:t>
            </w:r>
          </w:p>
          <w:p w14:paraId="32473FEF" w14:textId="59D9733E" w:rsidR="5BC97894" w:rsidRPr="00D32942" w:rsidRDefault="5BC97894" w:rsidP="00D32942">
            <w:pPr>
              <w:pStyle w:val="ListParagraph"/>
              <w:numPr>
                <w:ilvl w:val="0"/>
                <w:numId w:val="7"/>
              </w:numPr>
              <w:ind w:left="158" w:hanging="15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hAnsi="Centaur"/>
              </w:rPr>
            </w:pPr>
            <w:r w:rsidRPr="00D32942">
              <w:rPr>
                <w:rFonts w:ascii="Centaur" w:eastAsia="Avenir Next" w:hAnsi="Centaur" w:cs="Avenir Next"/>
                <w:sz w:val="21"/>
                <w:szCs w:val="21"/>
              </w:rPr>
              <w:t>Addresses the common good, social inequality and/or environmental sustainability</w:t>
            </w:r>
          </w:p>
          <w:p w14:paraId="70C7B48F" w14:textId="5AF8CAC3" w:rsidR="5BC97894" w:rsidRPr="00D32942" w:rsidRDefault="5BC97894" w:rsidP="00D32942">
            <w:pPr>
              <w:pStyle w:val="ListParagraph"/>
              <w:numPr>
                <w:ilvl w:val="0"/>
                <w:numId w:val="7"/>
              </w:numPr>
              <w:spacing w:before="60"/>
              <w:ind w:left="158" w:hanging="15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hAnsi="Centaur"/>
              </w:rPr>
            </w:pPr>
            <w:r w:rsidRPr="00D32942">
              <w:rPr>
                <w:rFonts w:ascii="Centaur" w:eastAsia="Avenir Next" w:hAnsi="Centaur" w:cs="Avenir Next"/>
                <w:sz w:val="21"/>
                <w:szCs w:val="21"/>
              </w:rPr>
              <w:t>Connects the civic or community elements to course learning goals</w:t>
            </w:r>
          </w:p>
          <w:p w14:paraId="1C87DA56" w14:textId="43CAD387" w:rsidR="5BC97894" w:rsidRPr="00D32942" w:rsidRDefault="5BC97894" w:rsidP="00D32942">
            <w:pPr>
              <w:pStyle w:val="ListParagraph"/>
              <w:numPr>
                <w:ilvl w:val="0"/>
                <w:numId w:val="7"/>
              </w:numPr>
              <w:spacing w:before="60"/>
              <w:ind w:left="158" w:hanging="15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hAnsi="Centaur"/>
              </w:rPr>
            </w:pPr>
            <w:r w:rsidRPr="00D32942">
              <w:rPr>
                <w:rFonts w:ascii="Centaur" w:eastAsia="Avenir Next" w:hAnsi="Centaur" w:cs="Avenir Next"/>
                <w:sz w:val="21"/>
                <w:szCs w:val="21"/>
              </w:rPr>
              <w:t xml:space="preserve">Includes student interpretation </w:t>
            </w:r>
            <w:r w:rsidR="00D32942">
              <w:rPr>
                <w:rFonts w:ascii="Centaur" w:eastAsia="Avenir Next" w:hAnsi="Centaur" w:cs="Avenir Next"/>
                <w:sz w:val="21"/>
                <w:szCs w:val="21"/>
              </w:rPr>
              <w:t>&amp;</w:t>
            </w:r>
            <w:r w:rsidRPr="00D32942">
              <w:rPr>
                <w:rFonts w:ascii="Centaur" w:eastAsia="Avenir Next" w:hAnsi="Centaur" w:cs="Avenir Next"/>
                <w:sz w:val="21"/>
                <w:szCs w:val="21"/>
              </w:rPr>
              <w:t xml:space="preserve"> analysis (</w:t>
            </w:r>
            <w:r w:rsidR="00D32942">
              <w:rPr>
                <w:rFonts w:ascii="Centaur" w:eastAsia="Avenir Next" w:hAnsi="Centaur" w:cs="Avenir Next"/>
                <w:sz w:val="21"/>
                <w:szCs w:val="21"/>
              </w:rPr>
              <w:t>“</w:t>
            </w:r>
            <w:r w:rsidRPr="00D32942">
              <w:rPr>
                <w:rFonts w:ascii="Centaur" w:eastAsia="Avenir Next" w:hAnsi="Centaur" w:cs="Avenir Next"/>
                <w:sz w:val="21"/>
                <w:szCs w:val="21"/>
              </w:rPr>
              <w:t>critical reflection</w:t>
            </w:r>
            <w:r w:rsidR="00D32942">
              <w:rPr>
                <w:rFonts w:ascii="Centaur" w:eastAsia="Avenir Next" w:hAnsi="Centaur" w:cs="Avenir Next"/>
                <w:sz w:val="21"/>
                <w:szCs w:val="21"/>
              </w:rPr>
              <w:t>”</w:t>
            </w:r>
            <w:r w:rsidRPr="00D32942">
              <w:rPr>
                <w:rFonts w:ascii="Centaur" w:eastAsia="Avenir Next" w:hAnsi="Centaur" w:cs="Avenir Next"/>
                <w:sz w:val="21"/>
                <w:szCs w:val="21"/>
              </w:rPr>
              <w:t>) of the course</w:t>
            </w:r>
            <w:r w:rsidR="00D32942">
              <w:rPr>
                <w:rFonts w:ascii="Centaur" w:eastAsia="Avenir Next" w:hAnsi="Centaur" w:cs="Avenir Next"/>
                <w:sz w:val="21"/>
                <w:szCs w:val="21"/>
              </w:rPr>
              <w:t>’</w:t>
            </w:r>
            <w:r w:rsidRPr="00D32942">
              <w:rPr>
                <w:rFonts w:ascii="Centaur" w:eastAsia="Avenir Next" w:hAnsi="Centaur" w:cs="Avenir Next"/>
                <w:sz w:val="21"/>
                <w:szCs w:val="21"/>
              </w:rPr>
              <w:t>s civic or community elements</w:t>
            </w:r>
          </w:p>
          <w:p w14:paraId="4CF77C5B" w14:textId="5CF1CA0F" w:rsidR="5BC97894" w:rsidRPr="00D32942" w:rsidRDefault="5BC97894" w:rsidP="00D32942">
            <w:pPr>
              <w:pStyle w:val="ListParagraph"/>
              <w:numPr>
                <w:ilvl w:val="0"/>
                <w:numId w:val="7"/>
              </w:numPr>
              <w:spacing w:before="60"/>
              <w:ind w:left="158" w:hanging="15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eastAsia="Avenir Next" w:hAnsi="Centaur" w:cs="Avenir Next"/>
                <w:sz w:val="21"/>
                <w:szCs w:val="21"/>
              </w:rPr>
            </w:pPr>
            <w:r w:rsidRPr="00D32942">
              <w:rPr>
                <w:rFonts w:ascii="Centaur" w:eastAsia="Avenir Next" w:hAnsi="Centaur" w:cs="Avenir Next"/>
                <w:sz w:val="21"/>
                <w:szCs w:val="21"/>
              </w:rPr>
              <w:t xml:space="preserve">Bases assessment on demonstration of learning, not </w:t>
            </w:r>
            <w:r w:rsidR="140D4673" w:rsidRPr="00D32942">
              <w:rPr>
                <w:rFonts w:ascii="Centaur" w:eastAsia="Avenir Next" w:hAnsi="Centaur" w:cs="Avenir Next"/>
                <w:sz w:val="21"/>
                <w:szCs w:val="21"/>
              </w:rPr>
              <w:t xml:space="preserve">solely </w:t>
            </w:r>
            <w:r w:rsidRPr="00D32942">
              <w:rPr>
                <w:rFonts w:ascii="Centaur" w:eastAsia="Avenir Next" w:hAnsi="Centaur" w:cs="Avenir Next"/>
                <w:sz w:val="21"/>
                <w:szCs w:val="21"/>
              </w:rPr>
              <w:t>completion of service or project tasks (if applicable)</w:t>
            </w:r>
          </w:p>
        </w:tc>
      </w:tr>
      <w:tr w:rsidR="5BC97894" w:rsidRPr="0028779A" w14:paraId="188546BF" w14:textId="77777777" w:rsidTr="00D329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auto"/>
              <w:right w:val="single" w:sz="0" w:space="0" w:color="A8D08D" w:themeColor="accent6" w:themeTint="99"/>
            </w:tcBorders>
            <w:vAlign w:val="center"/>
          </w:tcPr>
          <w:p w14:paraId="62DEF088" w14:textId="77777777" w:rsidR="00FC107B" w:rsidRPr="0028779A" w:rsidRDefault="00FC107B">
            <w:pPr>
              <w:rPr>
                <w:rFonts w:ascii="Centaur" w:hAnsi="Centaur"/>
              </w:rPr>
            </w:pPr>
          </w:p>
        </w:tc>
        <w:tc>
          <w:tcPr>
            <w:tcW w:w="3865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single" w:sz="8" w:space="0" w:color="A8D08D" w:themeColor="accent6" w:themeTint="99"/>
            </w:tcBorders>
            <w:vAlign w:val="center"/>
          </w:tcPr>
          <w:p w14:paraId="45478675" w14:textId="1EB6734F" w:rsidR="5BC97894" w:rsidRPr="0028779A" w:rsidRDefault="5BC97894" w:rsidP="00D3294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hAnsi="Centaur"/>
              </w:rPr>
            </w:pPr>
            <w:r w:rsidRPr="0028779A">
              <w:rPr>
                <w:rFonts w:ascii="Centaur" w:eastAsia="Avenir Next" w:hAnsi="Centaur" w:cs="Avenir Next"/>
                <w:b/>
                <w:bCs/>
                <w:sz w:val="21"/>
                <w:szCs w:val="21"/>
              </w:rPr>
              <w:t>Community Exploration</w:t>
            </w:r>
          </w:p>
          <w:p w14:paraId="3DB89BC4" w14:textId="538E166E" w:rsidR="5BC97894" w:rsidRPr="0028779A" w:rsidRDefault="5BC97894" w:rsidP="00D32942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hAnsi="Centaur"/>
              </w:rPr>
            </w:pPr>
            <w:r w:rsidRPr="0028779A">
              <w:rPr>
                <w:rFonts w:ascii="Centaur" w:eastAsia="Avenir Next" w:hAnsi="Centaur" w:cs="Avenir Next"/>
                <w:sz w:val="21"/>
                <w:szCs w:val="21"/>
              </w:rPr>
              <w:t xml:space="preserve">Students are introduced to specific communities, observe or participate in a community, and/or explore place-based cases of broader issues. </w:t>
            </w:r>
          </w:p>
        </w:tc>
        <w:tc>
          <w:tcPr>
            <w:tcW w:w="3950" w:type="dxa"/>
            <w:vMerge/>
            <w:tcBorders>
              <w:left w:val="single" w:sz="0" w:space="0" w:color="A8D08D" w:themeColor="accent6" w:themeTint="99"/>
              <w:right w:val="single" w:sz="12" w:space="0" w:color="auto"/>
            </w:tcBorders>
            <w:vAlign w:val="center"/>
          </w:tcPr>
          <w:p w14:paraId="7465EBAD" w14:textId="77777777" w:rsidR="00FC107B" w:rsidRPr="0028779A" w:rsidRDefault="00FC1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hAnsi="Centaur"/>
              </w:rPr>
            </w:pPr>
          </w:p>
        </w:tc>
      </w:tr>
      <w:tr w:rsidR="00D32942" w:rsidRPr="0028779A" w14:paraId="01CA278B" w14:textId="77777777" w:rsidTr="00D32942"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top w:val="single" w:sz="0" w:space="0" w:color="auto"/>
              <w:left w:val="single" w:sz="12" w:space="0" w:color="auto"/>
              <w:bottom w:val="single" w:sz="12" w:space="0" w:color="auto"/>
              <w:right w:val="single" w:sz="0" w:space="0" w:color="A8D08D" w:themeColor="accent6" w:themeTint="99"/>
            </w:tcBorders>
            <w:vAlign w:val="center"/>
          </w:tcPr>
          <w:p w14:paraId="3F295E4B" w14:textId="77777777" w:rsidR="00FC107B" w:rsidRPr="0028779A" w:rsidRDefault="00FC107B">
            <w:pPr>
              <w:rPr>
                <w:rFonts w:ascii="Centaur" w:hAnsi="Centaur"/>
              </w:rPr>
            </w:pPr>
          </w:p>
        </w:tc>
        <w:tc>
          <w:tcPr>
            <w:tcW w:w="3865" w:type="dxa"/>
            <w:tcBorders>
              <w:top w:val="single" w:sz="8" w:space="0" w:color="70AD47" w:themeColor="accent6"/>
              <w:left w:val="nil"/>
              <w:bottom w:val="single" w:sz="12" w:space="0" w:color="auto"/>
              <w:right w:val="single" w:sz="8" w:space="0" w:color="A8D08D" w:themeColor="accent6" w:themeTint="99"/>
            </w:tcBorders>
            <w:vAlign w:val="center"/>
          </w:tcPr>
          <w:p w14:paraId="5A3296E5" w14:textId="7BBFC71C" w:rsidR="5BC97894" w:rsidRPr="0028779A" w:rsidRDefault="00775ABA" w:rsidP="00D3294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hAnsi="Centaur"/>
              </w:rPr>
            </w:pPr>
            <w:r w:rsidRPr="0028779A">
              <w:rPr>
                <w:rFonts w:ascii="Centaur" w:eastAsia="Avenir Next" w:hAnsi="Centaur" w:cs="Avenir Next"/>
                <w:b/>
                <w:bCs/>
                <w:sz w:val="21"/>
                <w:szCs w:val="21"/>
              </w:rPr>
              <w:t xml:space="preserve">UVM </w:t>
            </w:r>
            <w:r w:rsidR="5BC97894" w:rsidRPr="0028779A">
              <w:rPr>
                <w:rFonts w:ascii="Centaur" w:eastAsia="Avenir Next" w:hAnsi="Centaur" w:cs="Avenir Next"/>
                <w:b/>
                <w:bCs/>
                <w:sz w:val="21"/>
                <w:szCs w:val="21"/>
              </w:rPr>
              <w:t xml:space="preserve">Partnership </w:t>
            </w:r>
            <w:r w:rsidR="00D32942">
              <w:rPr>
                <w:rFonts w:ascii="Centaur" w:eastAsia="Avenir Next" w:hAnsi="Centaur" w:cs="Avenir Next"/>
                <w:b/>
                <w:bCs/>
                <w:sz w:val="21"/>
                <w:szCs w:val="21"/>
              </w:rPr>
              <w:t>&amp;</w:t>
            </w:r>
            <w:r w:rsidR="5BC97894" w:rsidRPr="0028779A">
              <w:rPr>
                <w:rFonts w:ascii="Centaur" w:eastAsia="Avenir Next" w:hAnsi="Centaur" w:cs="Avenir Next"/>
                <w:b/>
                <w:bCs/>
                <w:sz w:val="21"/>
                <w:szCs w:val="21"/>
              </w:rPr>
              <w:t xml:space="preserve"> Service</w:t>
            </w:r>
          </w:p>
          <w:p w14:paraId="6A921C74" w14:textId="7B59E6D9" w:rsidR="5BC97894" w:rsidRPr="0028779A" w:rsidRDefault="5BC97894" w:rsidP="00D32942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hAnsi="Centaur"/>
              </w:rPr>
            </w:pPr>
            <w:r w:rsidRPr="0028779A">
              <w:rPr>
                <w:rFonts w:ascii="Centaur" w:eastAsia="Avenir Next" w:hAnsi="Centaur" w:cs="Avenir Next"/>
                <w:sz w:val="21"/>
                <w:szCs w:val="21"/>
              </w:rPr>
              <w:t xml:space="preserve">The course engages directly with </w:t>
            </w:r>
            <w:r w:rsidRPr="00D32942">
              <w:rPr>
                <w:rFonts w:ascii="Centaur" w:eastAsia="Avenir Next" w:hAnsi="Centaur" w:cs="Avenir Next"/>
                <w:sz w:val="21"/>
                <w:szCs w:val="21"/>
              </w:rPr>
              <w:t>UVM-based partners</w:t>
            </w:r>
            <w:r w:rsidRPr="0028779A">
              <w:rPr>
                <w:rFonts w:ascii="Centaur" w:eastAsia="Avenir Next" w:hAnsi="Centaur" w:cs="Avenir Next"/>
                <w:sz w:val="21"/>
                <w:szCs w:val="21"/>
              </w:rPr>
              <w:t xml:space="preserve"> with projects or service, </w:t>
            </w:r>
            <w:r w:rsidR="00D32942">
              <w:rPr>
                <w:rFonts w:ascii="Centaur" w:eastAsia="Avenir Next" w:hAnsi="Centaur" w:cs="Avenir Next"/>
                <w:sz w:val="21"/>
                <w:szCs w:val="21"/>
              </w:rPr>
              <w:t>and/o</w:t>
            </w:r>
            <w:r w:rsidRPr="0028779A">
              <w:rPr>
                <w:rFonts w:ascii="Centaur" w:eastAsia="Avenir Next" w:hAnsi="Centaur" w:cs="Avenir Next"/>
                <w:sz w:val="21"/>
                <w:szCs w:val="21"/>
              </w:rPr>
              <w:t xml:space="preserve">r includes </w:t>
            </w:r>
            <w:r w:rsidRPr="00D32942">
              <w:rPr>
                <w:rFonts w:ascii="Centaur" w:eastAsia="Avenir Next" w:hAnsi="Centaur" w:cs="Avenir Next"/>
                <w:sz w:val="21"/>
                <w:szCs w:val="21"/>
              </w:rPr>
              <w:t>small-scale</w:t>
            </w:r>
            <w:r w:rsidRPr="0028779A">
              <w:rPr>
                <w:rFonts w:ascii="Centaur" w:eastAsia="Avenir Next" w:hAnsi="Centaur" w:cs="Avenir Next"/>
                <w:sz w:val="21"/>
                <w:szCs w:val="21"/>
              </w:rPr>
              <w:t xml:space="preserve"> off-campus service.</w:t>
            </w:r>
          </w:p>
        </w:tc>
        <w:tc>
          <w:tcPr>
            <w:tcW w:w="3950" w:type="dxa"/>
            <w:vMerge/>
            <w:tcBorders>
              <w:top w:val="single" w:sz="0" w:space="0" w:color="auto"/>
              <w:left w:val="single" w:sz="0" w:space="0" w:color="A8D08D" w:themeColor="accent6" w:themeTint="99"/>
              <w:bottom w:val="single" w:sz="12" w:space="0" w:color="auto"/>
              <w:right w:val="single" w:sz="12" w:space="0" w:color="auto"/>
            </w:tcBorders>
            <w:vAlign w:val="center"/>
          </w:tcPr>
          <w:p w14:paraId="495CD611" w14:textId="77777777" w:rsidR="00FC107B" w:rsidRPr="0028779A" w:rsidRDefault="00FC1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hAnsi="Centaur"/>
              </w:rPr>
            </w:pPr>
          </w:p>
        </w:tc>
      </w:tr>
    </w:tbl>
    <w:p w14:paraId="1F294EC6" w14:textId="5B606BE4" w:rsidR="2BE0146E" w:rsidRPr="00D32942" w:rsidRDefault="33086D36" w:rsidP="00D32942">
      <w:pPr>
        <w:spacing w:after="0" w:line="240" w:lineRule="exact"/>
        <w:rPr>
          <w:rFonts w:ascii="Centaur" w:hAnsi="Centaur"/>
          <w:sz w:val="18"/>
        </w:rPr>
      </w:pPr>
      <w:r w:rsidRPr="00D32942">
        <w:rPr>
          <w:rFonts w:ascii="Centaur" w:eastAsia="Avenir Next" w:hAnsi="Centaur" w:cs="Avenir Next"/>
          <w:b/>
          <w:bCs/>
          <w:color w:val="000000" w:themeColor="text1"/>
          <w:sz w:val="18"/>
        </w:rPr>
        <w:t xml:space="preserve"> </w:t>
      </w:r>
    </w:p>
    <w:tbl>
      <w:tblPr>
        <w:tblStyle w:val="ListTable3-Accent6"/>
        <w:tblW w:w="9360" w:type="dxa"/>
        <w:tblInd w:w="165" w:type="dxa"/>
        <w:tblLayout w:type="fixed"/>
        <w:tblLook w:val="06A0" w:firstRow="1" w:lastRow="0" w:firstColumn="1" w:lastColumn="0" w:noHBand="1" w:noVBand="1"/>
      </w:tblPr>
      <w:tblGrid>
        <w:gridCol w:w="1530"/>
        <w:gridCol w:w="2790"/>
        <w:gridCol w:w="5040"/>
      </w:tblGrid>
      <w:tr w:rsidR="0028779A" w:rsidRPr="0028779A" w14:paraId="5F04FFD2" w14:textId="77777777" w:rsidTr="00D3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4F5D7B69" w14:textId="76DC53BB" w:rsidR="5BC97894" w:rsidRPr="0028779A" w:rsidRDefault="5BC97894" w:rsidP="0028779A">
            <w:pPr>
              <w:spacing w:before="20" w:after="100" w:afterAutospacing="1" w:line="259" w:lineRule="auto"/>
              <w:rPr>
                <w:rFonts w:ascii="Centaur" w:eastAsia="Avenir Next" w:hAnsi="Centaur" w:cs="Avenir Next"/>
                <w:color w:val="000000" w:themeColor="text1"/>
                <w:sz w:val="28"/>
                <w:szCs w:val="21"/>
              </w:rPr>
            </w:pPr>
            <w:r w:rsidRPr="0028779A">
              <w:rPr>
                <w:rFonts w:ascii="Centaur" w:eastAsia="Avenir Next" w:hAnsi="Centaur" w:cs="Avenir Next"/>
                <w:color w:val="000000" w:themeColor="text1"/>
                <w:sz w:val="28"/>
                <w:szCs w:val="21"/>
              </w:rPr>
              <w:t>Designation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35BE30D0" w14:textId="26E09C5B" w:rsidR="5BC97894" w:rsidRPr="0028779A" w:rsidRDefault="5BC97894" w:rsidP="0028779A">
            <w:pPr>
              <w:spacing w:before="20" w:after="100" w:afterAutospacing="1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eastAsia="Avenir Next" w:hAnsi="Centaur" w:cs="Avenir Next"/>
                <w:color w:val="000000" w:themeColor="text1"/>
                <w:sz w:val="28"/>
                <w:szCs w:val="21"/>
              </w:rPr>
            </w:pPr>
            <w:r w:rsidRPr="0028779A">
              <w:rPr>
                <w:rFonts w:ascii="Centaur" w:eastAsia="Avenir Next" w:hAnsi="Centaur" w:cs="Avenir Next"/>
                <w:color w:val="000000" w:themeColor="text1"/>
                <w:sz w:val="28"/>
                <w:szCs w:val="21"/>
              </w:rPr>
              <w:t>Possible Types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ACC82E4" w14:textId="5AFE3D75" w:rsidR="5BC97894" w:rsidRPr="0028779A" w:rsidRDefault="5BC97894" w:rsidP="0028779A">
            <w:pPr>
              <w:spacing w:before="20" w:after="100" w:afterAutospacing="1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eastAsia="Avenir Next" w:hAnsi="Centaur" w:cs="Avenir Next"/>
                <w:color w:val="000000" w:themeColor="text1"/>
                <w:sz w:val="28"/>
                <w:szCs w:val="21"/>
              </w:rPr>
            </w:pPr>
            <w:r w:rsidRPr="0028779A">
              <w:rPr>
                <w:rFonts w:ascii="Centaur" w:eastAsia="Avenir Next" w:hAnsi="Centaur" w:cs="Avenir Next"/>
                <w:color w:val="000000" w:themeColor="text1"/>
                <w:sz w:val="28"/>
                <w:szCs w:val="21"/>
              </w:rPr>
              <w:t>Criteria</w:t>
            </w:r>
          </w:p>
        </w:tc>
      </w:tr>
      <w:tr w:rsidR="5BC97894" w:rsidRPr="0028779A" w14:paraId="7A273AFC" w14:textId="77777777" w:rsidTr="00D32942">
        <w:trPr>
          <w:trHeight w:val="1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14:paraId="3A6763C2" w14:textId="44D4DFC0" w:rsidR="5BC97894" w:rsidRPr="0028779A" w:rsidRDefault="5BC97894" w:rsidP="0028779A">
            <w:pPr>
              <w:rPr>
                <w:rFonts w:ascii="Centaur" w:eastAsia="Avenir Next" w:hAnsi="Centaur" w:cs="Avenir Next"/>
                <w:color w:val="000000" w:themeColor="text1"/>
                <w:sz w:val="32"/>
                <w:szCs w:val="21"/>
              </w:rPr>
            </w:pPr>
            <w:r w:rsidRPr="0028779A">
              <w:rPr>
                <w:rFonts w:ascii="Centaur" w:eastAsia="Avenir Next" w:hAnsi="Centaur" w:cs="Avenir Next"/>
                <w:color w:val="000000" w:themeColor="text1"/>
                <w:sz w:val="32"/>
                <w:szCs w:val="21"/>
              </w:rPr>
              <w:t>Service Learning</w:t>
            </w:r>
          </w:p>
          <w:p w14:paraId="1E10918E" w14:textId="595EFE13" w:rsidR="5BC97894" w:rsidRPr="0028779A" w:rsidRDefault="5BC97894" w:rsidP="0028779A">
            <w:pPr>
              <w:rPr>
                <w:rFonts w:ascii="Centaur" w:hAnsi="Centaur"/>
              </w:rPr>
            </w:pPr>
            <w:r w:rsidRPr="0028779A">
              <w:rPr>
                <w:rFonts w:ascii="Centaur" w:eastAsia="Avenir Next" w:hAnsi="Centaur" w:cs="Avenir Next"/>
                <w:color w:val="000000" w:themeColor="text1"/>
                <w:sz w:val="32"/>
                <w:szCs w:val="21"/>
              </w:rPr>
              <w:t>(SL)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8" w:space="0" w:color="A8D08D" w:themeColor="accent6" w:themeTint="99"/>
              <w:bottom w:val="single" w:sz="8" w:space="0" w:color="70AD47" w:themeColor="accent6"/>
              <w:right w:val="single" w:sz="8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14:paraId="4CBB461A" w14:textId="19782FA8" w:rsidR="5BC97894" w:rsidRPr="0028779A" w:rsidRDefault="5BC97894" w:rsidP="00D3294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hAnsi="Centaur"/>
              </w:rPr>
            </w:pPr>
            <w:r w:rsidRPr="0028779A">
              <w:rPr>
                <w:rFonts w:ascii="Centaur" w:eastAsia="Avenir Next" w:hAnsi="Centaur" w:cs="Avenir Next"/>
                <w:b/>
                <w:bCs/>
                <w:color w:val="000000" w:themeColor="text1"/>
                <w:sz w:val="21"/>
                <w:szCs w:val="21"/>
              </w:rPr>
              <w:t>Direct &amp; Indirect Service</w:t>
            </w:r>
          </w:p>
          <w:p w14:paraId="7F59F5C9" w14:textId="6C41657C" w:rsidR="5BC97894" w:rsidRPr="0028779A" w:rsidRDefault="5BC97894" w:rsidP="00D32942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hAnsi="Centaur"/>
              </w:rPr>
            </w:pPr>
            <w:r w:rsidRPr="0028779A">
              <w:rPr>
                <w:rFonts w:ascii="Centaur" w:eastAsia="Avenir Next" w:hAnsi="Centaur" w:cs="Avenir Next"/>
                <w:color w:val="000000" w:themeColor="text1"/>
                <w:sz w:val="21"/>
                <w:szCs w:val="21"/>
              </w:rPr>
              <w:t xml:space="preserve">Students engage directly with organizations’ served populations or provide other services. </w:t>
            </w:r>
          </w:p>
        </w:tc>
        <w:tc>
          <w:tcPr>
            <w:tcW w:w="5040" w:type="dxa"/>
            <w:vMerge w:val="restart"/>
            <w:tcBorders>
              <w:top w:val="single" w:sz="12" w:space="0" w:color="auto"/>
              <w:left w:val="single" w:sz="8" w:space="0" w:color="A8D08D" w:themeColor="accent6" w:themeTint="99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B81FBF7" w14:textId="08034EEF" w:rsidR="5BC97894" w:rsidRPr="0028779A" w:rsidRDefault="5BC97894" w:rsidP="00D32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hAnsi="Centaur"/>
              </w:rPr>
            </w:pPr>
            <w:r w:rsidRPr="0028779A">
              <w:rPr>
                <w:rFonts w:ascii="Centaur" w:eastAsia="Avenir Next" w:hAnsi="Centaur" w:cs="Avenir Next"/>
                <w:color w:val="000000" w:themeColor="text1"/>
                <w:sz w:val="21"/>
                <w:szCs w:val="21"/>
              </w:rPr>
              <w:t>Credit-bearing course that:</w:t>
            </w:r>
          </w:p>
          <w:p w14:paraId="6417BE24" w14:textId="4BD147E3" w:rsidR="5BC97894" w:rsidRPr="00D32942" w:rsidRDefault="5BC97894" w:rsidP="00D32942">
            <w:pPr>
              <w:pStyle w:val="ListParagraph"/>
              <w:numPr>
                <w:ilvl w:val="0"/>
                <w:numId w:val="8"/>
              </w:numPr>
              <w:spacing w:before="60"/>
              <w:ind w:left="173" w:hanging="17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hAnsi="Centaur"/>
              </w:rPr>
            </w:pPr>
            <w:r w:rsidRPr="00D32942">
              <w:rPr>
                <w:rFonts w:ascii="Centaur" w:eastAsia="Avenir Next" w:hAnsi="Centaur" w:cs="Avenir Next"/>
                <w:color w:val="000000" w:themeColor="text1"/>
                <w:sz w:val="21"/>
                <w:szCs w:val="21"/>
              </w:rPr>
              <w:t>Addresses the role of the discipline in relationship to the common good, social inequality, and/or environmental sustainability</w:t>
            </w:r>
          </w:p>
          <w:p w14:paraId="6C8C0A55" w14:textId="748056DE" w:rsidR="5BC97894" w:rsidRPr="00D32942" w:rsidRDefault="5BC97894" w:rsidP="00D32942">
            <w:pPr>
              <w:pStyle w:val="ListParagraph"/>
              <w:numPr>
                <w:ilvl w:val="0"/>
                <w:numId w:val="8"/>
              </w:numPr>
              <w:spacing w:before="60"/>
              <w:ind w:left="166" w:hanging="16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hAnsi="Centaur"/>
              </w:rPr>
            </w:pPr>
            <w:r w:rsidRPr="00D32942">
              <w:rPr>
                <w:rFonts w:ascii="Centaur" w:eastAsia="Avenir Next" w:hAnsi="Centaur" w:cs="Avenir Next"/>
                <w:color w:val="000000" w:themeColor="text1"/>
                <w:sz w:val="21"/>
                <w:szCs w:val="21"/>
              </w:rPr>
              <w:t xml:space="preserve">Includes a significant community-engaged component that responds to community goals </w:t>
            </w:r>
            <w:r w:rsidR="00D32942">
              <w:rPr>
                <w:rFonts w:ascii="Centaur" w:eastAsia="Avenir Next" w:hAnsi="Centaur" w:cs="Avenir Next"/>
                <w:color w:val="000000" w:themeColor="text1"/>
                <w:sz w:val="21"/>
                <w:szCs w:val="21"/>
              </w:rPr>
              <w:t>&amp;</w:t>
            </w:r>
            <w:r w:rsidRPr="00D32942">
              <w:rPr>
                <w:rFonts w:ascii="Centaur" w:eastAsia="Avenir Next" w:hAnsi="Centaur" w:cs="Avenir Next"/>
                <w:color w:val="000000" w:themeColor="text1"/>
                <w:sz w:val="21"/>
                <w:szCs w:val="21"/>
              </w:rPr>
              <w:t xml:space="preserve"> priorities, as identif</w:t>
            </w:r>
            <w:r w:rsidR="00D32942">
              <w:rPr>
                <w:rFonts w:ascii="Centaur" w:eastAsia="Avenir Next" w:hAnsi="Centaur" w:cs="Avenir Next"/>
                <w:color w:val="000000" w:themeColor="text1"/>
                <w:sz w:val="21"/>
                <w:szCs w:val="21"/>
              </w:rPr>
              <w:t xml:space="preserve">ied by the community partner – and </w:t>
            </w:r>
            <w:r w:rsidRPr="00D32942">
              <w:rPr>
                <w:rFonts w:ascii="Centaur" w:eastAsia="Avenir Next" w:hAnsi="Centaur" w:cs="Avenir Next"/>
                <w:color w:val="000000" w:themeColor="text1"/>
                <w:sz w:val="21"/>
                <w:szCs w:val="21"/>
              </w:rPr>
              <w:t>which is tied to the course learning outcomes</w:t>
            </w:r>
          </w:p>
          <w:p w14:paraId="1A3E9D3C" w14:textId="388CD704" w:rsidR="5BC97894" w:rsidRPr="00D32942" w:rsidRDefault="5BC97894" w:rsidP="00D32942">
            <w:pPr>
              <w:pStyle w:val="ListParagraph"/>
              <w:numPr>
                <w:ilvl w:val="0"/>
                <w:numId w:val="8"/>
              </w:numPr>
              <w:spacing w:before="60"/>
              <w:ind w:left="166" w:hanging="16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hAnsi="Centaur"/>
              </w:rPr>
            </w:pPr>
            <w:r w:rsidRPr="00D32942">
              <w:rPr>
                <w:rFonts w:ascii="Centaur" w:eastAsia="Avenir Next" w:hAnsi="Centaur" w:cs="Avenir Next"/>
                <w:color w:val="000000" w:themeColor="text1"/>
                <w:sz w:val="21"/>
                <w:szCs w:val="21"/>
              </w:rPr>
              <w:t>Includes stud</w:t>
            </w:r>
            <w:r w:rsidR="00D32942">
              <w:rPr>
                <w:rFonts w:ascii="Centaur" w:eastAsia="Avenir Next" w:hAnsi="Centaur" w:cs="Avenir Next"/>
                <w:color w:val="000000" w:themeColor="text1"/>
                <w:sz w:val="21"/>
                <w:szCs w:val="21"/>
              </w:rPr>
              <w:t>ent interpretation &amp; analysis (“</w:t>
            </w:r>
            <w:r w:rsidRPr="00D32942">
              <w:rPr>
                <w:rFonts w:ascii="Centaur" w:eastAsia="Avenir Next" w:hAnsi="Centaur" w:cs="Avenir Next"/>
                <w:color w:val="000000" w:themeColor="text1"/>
                <w:sz w:val="21"/>
                <w:szCs w:val="21"/>
              </w:rPr>
              <w:t>critical reflection</w:t>
            </w:r>
            <w:r w:rsidR="00D32942">
              <w:rPr>
                <w:rFonts w:ascii="Centaur" w:eastAsia="Avenir Next" w:hAnsi="Centaur" w:cs="Avenir Next"/>
                <w:color w:val="000000" w:themeColor="text1"/>
                <w:sz w:val="21"/>
                <w:szCs w:val="21"/>
              </w:rPr>
              <w:t>”</w:t>
            </w:r>
            <w:r w:rsidRPr="00D32942">
              <w:rPr>
                <w:rFonts w:ascii="Centaur" w:eastAsia="Avenir Next" w:hAnsi="Centaur" w:cs="Avenir Next"/>
                <w:color w:val="000000" w:themeColor="text1"/>
                <w:sz w:val="21"/>
                <w:szCs w:val="21"/>
              </w:rPr>
              <w:t xml:space="preserve">) </w:t>
            </w:r>
            <w:r w:rsidR="00D32942">
              <w:rPr>
                <w:rFonts w:ascii="Centaur" w:eastAsia="Avenir Next" w:hAnsi="Centaur" w:cs="Avenir Next"/>
                <w:color w:val="000000" w:themeColor="text1"/>
                <w:sz w:val="21"/>
                <w:szCs w:val="21"/>
              </w:rPr>
              <w:t>of the course’s</w:t>
            </w:r>
            <w:r w:rsidRPr="00D32942">
              <w:rPr>
                <w:rFonts w:ascii="Centaur" w:eastAsia="Avenir Next" w:hAnsi="Centaur" w:cs="Avenir Next"/>
                <w:color w:val="000000" w:themeColor="text1"/>
                <w:sz w:val="21"/>
                <w:szCs w:val="21"/>
              </w:rPr>
              <w:t xml:space="preserve"> community-engaged activities</w:t>
            </w:r>
          </w:p>
          <w:p w14:paraId="478091BA" w14:textId="17FC2860" w:rsidR="5BC97894" w:rsidRPr="00D32942" w:rsidRDefault="5BC97894" w:rsidP="00D32942">
            <w:pPr>
              <w:pStyle w:val="ListParagraph"/>
              <w:numPr>
                <w:ilvl w:val="0"/>
                <w:numId w:val="8"/>
              </w:numPr>
              <w:spacing w:before="60"/>
              <w:ind w:left="166" w:hanging="16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hAnsi="Centaur"/>
              </w:rPr>
            </w:pPr>
            <w:r w:rsidRPr="00D32942">
              <w:rPr>
                <w:rFonts w:ascii="Centaur" w:eastAsia="Avenir Next" w:hAnsi="Centaur" w:cs="Avenir Next"/>
                <w:color w:val="000000" w:themeColor="text1"/>
                <w:sz w:val="21"/>
                <w:szCs w:val="21"/>
              </w:rPr>
              <w:t xml:space="preserve">Bases assessment on demonstration of learning </w:t>
            </w:r>
            <w:r w:rsidR="00D32942">
              <w:rPr>
                <w:rFonts w:ascii="Centaur" w:eastAsia="Avenir Next" w:hAnsi="Centaur" w:cs="Avenir Next"/>
                <w:color w:val="000000" w:themeColor="text1"/>
                <w:sz w:val="21"/>
                <w:szCs w:val="21"/>
              </w:rPr>
              <w:t>&amp;</w:t>
            </w:r>
            <w:r w:rsidRPr="00D32942">
              <w:rPr>
                <w:rFonts w:ascii="Centaur" w:eastAsia="Avenir Next" w:hAnsi="Centaur" w:cs="Avenir Next"/>
                <w:color w:val="000000" w:themeColor="text1"/>
                <w:sz w:val="21"/>
                <w:szCs w:val="21"/>
              </w:rPr>
              <w:t xml:space="preserve"> caliber of work, not solely on completion of service or project tasks</w:t>
            </w:r>
          </w:p>
        </w:tc>
      </w:tr>
      <w:tr w:rsidR="5BC97894" w:rsidRPr="0028779A" w14:paraId="37DD5C26" w14:textId="77777777" w:rsidTr="00D32942">
        <w:trPr>
          <w:trHeight w:val="1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left w:val="single" w:sz="12" w:space="0" w:color="auto"/>
              <w:right w:val="single" w:sz="0" w:space="0" w:color="A8D08D" w:themeColor="accent6" w:themeTint="99"/>
            </w:tcBorders>
            <w:vAlign w:val="center"/>
          </w:tcPr>
          <w:p w14:paraId="649F6F76" w14:textId="77777777" w:rsidR="00FC107B" w:rsidRPr="0028779A" w:rsidRDefault="00FC107B">
            <w:pPr>
              <w:rPr>
                <w:rFonts w:ascii="Centaur" w:hAnsi="Centaur"/>
              </w:rPr>
            </w:pPr>
          </w:p>
        </w:tc>
        <w:tc>
          <w:tcPr>
            <w:tcW w:w="2790" w:type="dxa"/>
            <w:tcBorders>
              <w:top w:val="single" w:sz="8" w:space="0" w:color="70AD47" w:themeColor="accent6"/>
              <w:left w:val="nil"/>
              <w:bottom w:val="nil"/>
              <w:right w:val="single" w:sz="8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14:paraId="2DE712AF" w14:textId="3BC59D5E" w:rsidR="5BC97894" w:rsidRPr="0028779A" w:rsidRDefault="5BC97894" w:rsidP="00D3294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hAnsi="Centaur"/>
              </w:rPr>
            </w:pPr>
            <w:r w:rsidRPr="0028779A">
              <w:rPr>
                <w:rFonts w:ascii="Centaur" w:eastAsia="Avenir Next" w:hAnsi="Centaur" w:cs="Avenir Next"/>
                <w:b/>
                <w:bCs/>
                <w:color w:val="000000" w:themeColor="text1"/>
                <w:sz w:val="21"/>
                <w:szCs w:val="21"/>
              </w:rPr>
              <w:t>Project / Consultant Model</w:t>
            </w:r>
          </w:p>
          <w:p w14:paraId="1AD4F0B5" w14:textId="10FF29F1" w:rsidR="5BC97894" w:rsidRPr="0028779A" w:rsidRDefault="5BC97894" w:rsidP="00D32942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hAnsi="Centaur"/>
              </w:rPr>
            </w:pPr>
            <w:r w:rsidRPr="0028779A">
              <w:rPr>
                <w:rFonts w:ascii="Centaur" w:eastAsia="Avenir Next" w:hAnsi="Centaur" w:cs="Avenir Next"/>
                <w:color w:val="000000" w:themeColor="text1"/>
                <w:sz w:val="21"/>
                <w:szCs w:val="21"/>
              </w:rPr>
              <w:t>Students produce deliverables for a community partner.</w:t>
            </w:r>
          </w:p>
        </w:tc>
        <w:tc>
          <w:tcPr>
            <w:tcW w:w="5040" w:type="dxa"/>
            <w:vMerge/>
            <w:tcBorders>
              <w:left w:val="single" w:sz="0" w:space="0" w:color="A8D08D" w:themeColor="accent6" w:themeTint="99"/>
              <w:right w:val="single" w:sz="12" w:space="0" w:color="auto"/>
            </w:tcBorders>
            <w:vAlign w:val="center"/>
          </w:tcPr>
          <w:p w14:paraId="5AA9E0BD" w14:textId="77777777" w:rsidR="00FC107B" w:rsidRPr="0028779A" w:rsidRDefault="00FC1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hAnsi="Centaur"/>
              </w:rPr>
            </w:pPr>
          </w:p>
        </w:tc>
      </w:tr>
      <w:tr w:rsidR="00D32942" w:rsidRPr="0028779A" w14:paraId="1B5966AE" w14:textId="77777777" w:rsidTr="00D32942">
        <w:trPr>
          <w:trHeight w:val="1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top w:val="single" w:sz="0" w:space="0" w:color="auto"/>
              <w:left w:val="single" w:sz="12" w:space="0" w:color="auto"/>
              <w:bottom w:val="single" w:sz="12" w:space="0" w:color="auto"/>
              <w:right w:val="single" w:sz="0" w:space="0" w:color="A8D08D" w:themeColor="accent6" w:themeTint="99"/>
            </w:tcBorders>
            <w:vAlign w:val="center"/>
          </w:tcPr>
          <w:p w14:paraId="7E4D19B6" w14:textId="77777777" w:rsidR="00FC107B" w:rsidRPr="0028779A" w:rsidRDefault="00FC107B">
            <w:pPr>
              <w:rPr>
                <w:rFonts w:ascii="Centaur" w:hAnsi="Centaur"/>
              </w:rPr>
            </w:pPr>
          </w:p>
        </w:tc>
        <w:tc>
          <w:tcPr>
            <w:tcW w:w="2790" w:type="dxa"/>
            <w:tcBorders>
              <w:top w:val="single" w:sz="8" w:space="0" w:color="70AD47" w:themeColor="accent6"/>
              <w:left w:val="nil"/>
              <w:bottom w:val="single" w:sz="12" w:space="0" w:color="auto"/>
              <w:right w:val="single" w:sz="8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14:paraId="575C001E" w14:textId="7B2E4D3C" w:rsidR="5BC97894" w:rsidRPr="0028779A" w:rsidRDefault="5BC97894" w:rsidP="00D3294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hAnsi="Centaur"/>
              </w:rPr>
            </w:pPr>
            <w:r w:rsidRPr="0028779A">
              <w:rPr>
                <w:rFonts w:ascii="Centaur" w:eastAsia="Avenir Next" w:hAnsi="Centaur" w:cs="Avenir Next"/>
                <w:b/>
                <w:bCs/>
                <w:color w:val="000000" w:themeColor="text1"/>
                <w:sz w:val="21"/>
                <w:szCs w:val="21"/>
              </w:rPr>
              <w:t>Community-Based Research</w:t>
            </w:r>
          </w:p>
          <w:p w14:paraId="27C070F7" w14:textId="5A0E159E" w:rsidR="5BC97894" w:rsidRPr="0028779A" w:rsidRDefault="5BC97894" w:rsidP="00D32942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hAnsi="Centaur"/>
              </w:rPr>
            </w:pPr>
            <w:r w:rsidRPr="0028779A">
              <w:rPr>
                <w:rFonts w:ascii="Centaur" w:eastAsia="Avenir Next" w:hAnsi="Centaur" w:cs="Avenir Next"/>
                <w:color w:val="000000" w:themeColor="text1"/>
                <w:sz w:val="21"/>
                <w:szCs w:val="21"/>
              </w:rPr>
              <w:t>Students engage in research driven by a community partner’s priorities.</w:t>
            </w:r>
          </w:p>
        </w:tc>
        <w:tc>
          <w:tcPr>
            <w:tcW w:w="5040" w:type="dxa"/>
            <w:vMerge/>
            <w:tcBorders>
              <w:top w:val="single" w:sz="0" w:space="0" w:color="auto"/>
              <w:left w:val="single" w:sz="0" w:space="0" w:color="A8D08D" w:themeColor="accent6" w:themeTint="99"/>
              <w:bottom w:val="single" w:sz="12" w:space="0" w:color="auto"/>
              <w:right w:val="single" w:sz="12" w:space="0" w:color="auto"/>
            </w:tcBorders>
            <w:vAlign w:val="center"/>
          </w:tcPr>
          <w:p w14:paraId="310CECEC" w14:textId="77777777" w:rsidR="00FC107B" w:rsidRPr="0028779A" w:rsidRDefault="00FC1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hAnsi="Centaur"/>
              </w:rPr>
            </w:pPr>
          </w:p>
        </w:tc>
      </w:tr>
    </w:tbl>
    <w:p w14:paraId="0240374E" w14:textId="2D32D3D9" w:rsidR="2BE0146E" w:rsidRPr="0028779A" w:rsidRDefault="2BE0146E" w:rsidP="5BC97894">
      <w:pPr>
        <w:spacing w:line="240" w:lineRule="exact"/>
        <w:rPr>
          <w:rFonts w:ascii="Centaur" w:eastAsia="Avenir Next" w:hAnsi="Centaur" w:cs="Avenir Next"/>
          <w:color w:val="000000" w:themeColor="text1"/>
        </w:rPr>
      </w:pPr>
    </w:p>
    <w:p w14:paraId="6D30ED2B" w14:textId="7BEE29AF" w:rsidR="2BE0146E" w:rsidRPr="0028779A" w:rsidRDefault="2BE0146E" w:rsidP="5BC97894">
      <w:pPr>
        <w:rPr>
          <w:rFonts w:ascii="Centaur" w:eastAsia="Avenir Next LT Pro" w:hAnsi="Centaur" w:cs="Avenir Next LT Pro"/>
          <w:b/>
          <w:bCs/>
        </w:rPr>
      </w:pPr>
    </w:p>
    <w:p w14:paraId="1ECBE27A" w14:textId="6355EE59" w:rsidR="2BE0146E" w:rsidRPr="0028779A" w:rsidRDefault="2BE0146E" w:rsidP="2BE0146E">
      <w:pPr>
        <w:rPr>
          <w:rFonts w:ascii="Centaur" w:eastAsia="Avenir Next LT Pro" w:hAnsi="Centaur" w:cs="Avenir Next LT Pro"/>
          <w:b/>
          <w:bCs/>
        </w:rPr>
      </w:pPr>
    </w:p>
    <w:sectPr w:rsidR="2BE0146E" w:rsidRPr="00287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aur">
    <w:panose1 w:val="02030504050205020304"/>
    <w:charset w:val="4D"/>
    <w:family w:val="roman"/>
    <w:pitch w:val="variable"/>
    <w:sig w:usb0="00000003" w:usb1="00000000" w:usb2="00000000" w:usb3="00000000" w:csb0="00000001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2098"/>
    <w:multiLevelType w:val="hybridMultilevel"/>
    <w:tmpl w:val="61E038F0"/>
    <w:lvl w:ilvl="0" w:tplc="A64AE4A4">
      <w:numFmt w:val="bullet"/>
      <w:lvlText w:val="·"/>
      <w:lvlJc w:val="left"/>
      <w:pPr>
        <w:ind w:left="720" w:hanging="360"/>
      </w:pPr>
      <w:rPr>
        <w:rFonts w:ascii="Cambria" w:eastAsia="Symbol" w:hAnsi="Cambria" w:cs="Cambria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53CA"/>
    <w:multiLevelType w:val="hybridMultilevel"/>
    <w:tmpl w:val="EC087CBE"/>
    <w:lvl w:ilvl="0" w:tplc="B8702F24">
      <w:numFmt w:val="bullet"/>
      <w:lvlText w:val="·"/>
      <w:lvlJc w:val="left"/>
      <w:pPr>
        <w:ind w:left="720" w:hanging="360"/>
      </w:pPr>
      <w:rPr>
        <w:rFonts w:ascii="Cambria" w:hAnsi="Cambria" w:cs="Cambri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163F7"/>
    <w:multiLevelType w:val="hybridMultilevel"/>
    <w:tmpl w:val="054C7412"/>
    <w:lvl w:ilvl="0" w:tplc="B8702F24">
      <w:numFmt w:val="bullet"/>
      <w:lvlText w:val="·"/>
      <w:lvlJc w:val="left"/>
      <w:pPr>
        <w:ind w:left="1080" w:hanging="360"/>
      </w:pPr>
      <w:rPr>
        <w:rFonts w:ascii="Cambria" w:hAnsi="Cambria" w:cs="Cambri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F90FAA"/>
    <w:multiLevelType w:val="hybridMultilevel"/>
    <w:tmpl w:val="381E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26DB2"/>
    <w:multiLevelType w:val="hybridMultilevel"/>
    <w:tmpl w:val="139A758A"/>
    <w:lvl w:ilvl="0" w:tplc="A2E22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4049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769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EA0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2B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146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448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C02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E49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30A4E"/>
    <w:multiLevelType w:val="hybridMultilevel"/>
    <w:tmpl w:val="FDAC4B04"/>
    <w:lvl w:ilvl="0" w:tplc="4CB2B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0AC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64F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A8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A6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088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DCD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ADE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501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3159B"/>
    <w:multiLevelType w:val="hybridMultilevel"/>
    <w:tmpl w:val="29E21EC2"/>
    <w:lvl w:ilvl="0" w:tplc="64546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849B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C6B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FAF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B41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CC6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6AC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50A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D8E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94E88"/>
    <w:multiLevelType w:val="hybridMultilevel"/>
    <w:tmpl w:val="FB185214"/>
    <w:lvl w:ilvl="0" w:tplc="39E8D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696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10B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6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5A8C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2A5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08D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C29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CC6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8A407C"/>
    <w:rsid w:val="0028779A"/>
    <w:rsid w:val="00775ABA"/>
    <w:rsid w:val="007F6E27"/>
    <w:rsid w:val="00874026"/>
    <w:rsid w:val="00D32942"/>
    <w:rsid w:val="00E8301F"/>
    <w:rsid w:val="00FC107B"/>
    <w:rsid w:val="0490C81F"/>
    <w:rsid w:val="0670607F"/>
    <w:rsid w:val="06B22B11"/>
    <w:rsid w:val="078FA587"/>
    <w:rsid w:val="07D4B7D6"/>
    <w:rsid w:val="088B7164"/>
    <w:rsid w:val="08B43E4E"/>
    <w:rsid w:val="0B456539"/>
    <w:rsid w:val="0BD2B6B3"/>
    <w:rsid w:val="0ECE7CFC"/>
    <w:rsid w:val="106D9E0E"/>
    <w:rsid w:val="140D4673"/>
    <w:rsid w:val="14299D08"/>
    <w:rsid w:val="148DC38C"/>
    <w:rsid w:val="185C36E5"/>
    <w:rsid w:val="1935946B"/>
    <w:rsid w:val="1C0F7F0B"/>
    <w:rsid w:val="1CDC9D70"/>
    <w:rsid w:val="1D45E0F7"/>
    <w:rsid w:val="211A946F"/>
    <w:rsid w:val="2602C133"/>
    <w:rsid w:val="2896C143"/>
    <w:rsid w:val="2BE0146E"/>
    <w:rsid w:val="2E8A407C"/>
    <w:rsid w:val="30604923"/>
    <w:rsid w:val="31712F87"/>
    <w:rsid w:val="327366E7"/>
    <w:rsid w:val="32A2608A"/>
    <w:rsid w:val="33086D36"/>
    <w:rsid w:val="3F053C2E"/>
    <w:rsid w:val="3FF6C127"/>
    <w:rsid w:val="4261EDE7"/>
    <w:rsid w:val="44E01891"/>
    <w:rsid w:val="45AEE47A"/>
    <w:rsid w:val="492FB35E"/>
    <w:rsid w:val="4CB8CB21"/>
    <w:rsid w:val="4E549B82"/>
    <w:rsid w:val="4F8AE00E"/>
    <w:rsid w:val="4FB916A7"/>
    <w:rsid w:val="51219CE6"/>
    <w:rsid w:val="51F8155A"/>
    <w:rsid w:val="55327D19"/>
    <w:rsid w:val="5BC97894"/>
    <w:rsid w:val="5C2A322E"/>
    <w:rsid w:val="5EF628DB"/>
    <w:rsid w:val="66FD612F"/>
    <w:rsid w:val="6785870F"/>
    <w:rsid w:val="68B9D49D"/>
    <w:rsid w:val="68C1C51C"/>
    <w:rsid w:val="6CBB5444"/>
    <w:rsid w:val="6D3A7569"/>
    <w:rsid w:val="6DF6D97C"/>
    <w:rsid w:val="71B239A9"/>
    <w:rsid w:val="726B26B8"/>
    <w:rsid w:val="73D622BB"/>
    <w:rsid w:val="7A8A1A19"/>
    <w:rsid w:val="7EC99408"/>
    <w:rsid w:val="7F90D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A407C"/>
  <w15:chartTrackingRefBased/>
  <w15:docId w15:val="{3C2ADAAB-99CD-4693-8605-757AFE0C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Table3-Accent6">
    <w:name w:val="List Table 3 Accent 6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613E19B22904889D8056131F491FA" ma:contentTypeVersion="6" ma:contentTypeDescription="Create a new document." ma:contentTypeScope="" ma:versionID="8411dd914f82f91b7415b8a2aa4a5b38">
  <xsd:schema xmlns:xsd="http://www.w3.org/2001/XMLSchema" xmlns:xs="http://www.w3.org/2001/XMLSchema" xmlns:p="http://schemas.microsoft.com/office/2006/metadata/properties" xmlns:ns2="f0fe7f7d-3cf5-436e-b266-bdaa4c0710ad" targetNamespace="http://schemas.microsoft.com/office/2006/metadata/properties" ma:root="true" ma:fieldsID="5ab856616b0f58e338485262510b6c81" ns2:_="">
    <xsd:import namespace="f0fe7f7d-3cf5-436e-b266-bdaa4c071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e7f7d-3cf5-436e-b266-bdaa4c071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F42888-D77F-44BC-AF41-BD115D9568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CD4743-1F06-41BF-88BA-CDCC7203B4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17DC4E-AC43-4AF1-91F0-4A122C555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e7f7d-3cf5-436e-b266-bdaa4c071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032636-604A-4D72-A750-4C32C97B27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Munkres</dc:creator>
  <cp:keywords/>
  <dc:description/>
  <cp:lastModifiedBy>Susan Munkres</cp:lastModifiedBy>
  <cp:revision>2</cp:revision>
  <dcterms:created xsi:type="dcterms:W3CDTF">2021-11-09T18:58:00Z</dcterms:created>
  <dcterms:modified xsi:type="dcterms:W3CDTF">2021-11-09T18:58:00Z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0x01010072C613E19B22904889D8056131F491FA</vt:lpwstr>
  </property>
</Properties>
</file>