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AF189" w14:textId="77777777" w:rsidR="002F3A18" w:rsidRPr="004B49DC" w:rsidRDefault="002F3A18" w:rsidP="002F3A18">
      <w:pPr>
        <w:spacing w:after="0" w:line="240" w:lineRule="auto"/>
        <w:jc w:val="center"/>
        <w:rPr>
          <w:rFonts w:ascii="Cambria" w:eastAsia="MS Mincho" w:hAnsi="Cambria" w:cs="Calibri"/>
          <w:b/>
          <w:bCs/>
          <w:color w:val="000000"/>
          <w:sz w:val="24"/>
          <w:szCs w:val="24"/>
        </w:rPr>
      </w:pPr>
      <w:bookmarkStart w:id="0" w:name="_GoBack"/>
      <w:bookmarkEnd w:id="0"/>
      <w:r w:rsidRPr="004B49DC">
        <w:rPr>
          <w:rFonts w:ascii="Cambria" w:eastAsia="MS Mincho" w:hAnsi="Cambria" w:cs="Calibri"/>
          <w:b/>
          <w:bCs/>
          <w:noProof/>
          <w:color w:val="000000"/>
          <w:sz w:val="24"/>
          <w:szCs w:val="24"/>
        </w:rPr>
        <w:drawing>
          <wp:inline distT="0" distB="0" distL="0" distR="0" wp14:anchorId="0F0D46D8" wp14:editId="0B637A41">
            <wp:extent cx="1417320" cy="8503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8"/>
                    <a:stretch>
                      <a:fillRect/>
                    </a:stretch>
                  </pic:blipFill>
                  <pic:spPr>
                    <a:xfrm>
                      <a:off x="0" y="0"/>
                      <a:ext cx="1417320" cy="850392"/>
                    </a:xfrm>
                    <a:prstGeom prst="rect">
                      <a:avLst/>
                    </a:prstGeom>
                  </pic:spPr>
                </pic:pic>
              </a:graphicData>
            </a:graphic>
          </wp:inline>
        </w:drawing>
      </w:r>
    </w:p>
    <w:p w14:paraId="7190FB58" w14:textId="52DC135B" w:rsidR="002F3A18" w:rsidRPr="004B49DC" w:rsidRDefault="002F3A18" w:rsidP="002F3A18">
      <w:pPr>
        <w:spacing w:after="0" w:line="240" w:lineRule="auto"/>
        <w:rPr>
          <w:rFonts w:ascii="Cambria" w:eastAsia="MS Mincho" w:hAnsi="Cambria" w:cs="Calibri"/>
          <w:b/>
          <w:bCs/>
          <w:color w:val="000000"/>
          <w:sz w:val="24"/>
          <w:szCs w:val="24"/>
        </w:rPr>
      </w:pPr>
      <w:r w:rsidRPr="004B49DC">
        <w:rPr>
          <w:rFonts w:ascii="Cambria" w:eastAsia="MS Mincho" w:hAnsi="Cambria" w:cs="Calibri"/>
          <w:b/>
          <w:bCs/>
          <w:color w:val="000000"/>
          <w:sz w:val="24"/>
          <w:szCs w:val="24"/>
        </w:rPr>
        <w:br/>
      </w:r>
      <w:r w:rsidR="004B49DC" w:rsidRPr="004B49DC">
        <w:rPr>
          <w:rFonts w:ascii="Cambria" w:eastAsia="MS Mincho" w:hAnsi="Cambria" w:cs="Calibri"/>
          <w:b/>
          <w:bCs/>
          <w:color w:val="000000"/>
          <w:sz w:val="24"/>
          <w:szCs w:val="24"/>
        </w:rPr>
        <w:t xml:space="preserve">MA: </w:t>
      </w:r>
      <w:r w:rsidRPr="004B49DC">
        <w:rPr>
          <w:rFonts w:ascii="Cambria" w:eastAsia="MS Mincho" w:hAnsi="Cambria" w:cs="Calibri"/>
          <w:b/>
          <w:bCs/>
          <w:color w:val="000000"/>
          <w:sz w:val="24"/>
          <w:szCs w:val="24"/>
        </w:rPr>
        <w:t>Pure Mathematics Catamount Core Approval Supplemental Information Form</w:t>
      </w:r>
    </w:p>
    <w:p w14:paraId="6207526E" w14:textId="77777777" w:rsidR="002F3A18" w:rsidRPr="004B49DC" w:rsidRDefault="002F3A18" w:rsidP="002F3A18">
      <w:pPr>
        <w:spacing w:after="0" w:line="240" w:lineRule="auto"/>
        <w:rPr>
          <w:rFonts w:ascii="Cambria" w:eastAsia="MS Mincho" w:hAnsi="Cambria" w:cs="Calibri"/>
          <w:color w:val="000000"/>
          <w:sz w:val="24"/>
          <w:szCs w:val="24"/>
        </w:rPr>
      </w:pPr>
    </w:p>
    <w:p w14:paraId="3A0BA833" w14:textId="485B6EA3" w:rsidR="00F348FC" w:rsidRDefault="002F3A18" w:rsidP="1845F5D8">
      <w:pPr>
        <w:spacing w:after="0" w:line="240" w:lineRule="auto"/>
        <w:rPr>
          <w:rFonts w:ascii="Cambria" w:eastAsia="MS Mincho" w:hAnsi="Cambria" w:cs="Calibri"/>
          <w:i/>
          <w:iCs/>
          <w:color w:val="000000"/>
          <w:sz w:val="24"/>
          <w:szCs w:val="24"/>
        </w:rPr>
      </w:pPr>
      <w:r w:rsidRPr="1845F5D8">
        <w:rPr>
          <w:rFonts w:ascii="Cambria" w:eastAsia="MS Mincho" w:hAnsi="Cambria" w:cs="Calibri"/>
          <w:color w:val="000000" w:themeColor="text1"/>
          <w:sz w:val="24"/>
          <w:szCs w:val="24"/>
          <w:u w:val="single"/>
        </w:rPr>
        <w:t>Purpose and Intent</w:t>
      </w:r>
      <w:r w:rsidRPr="1845F5D8">
        <w:rPr>
          <w:rFonts w:ascii="Cambria" w:eastAsia="MS Mincho" w:hAnsi="Cambria" w:cs="Calibri"/>
          <w:color w:val="000000" w:themeColor="text1"/>
          <w:sz w:val="24"/>
          <w:szCs w:val="24"/>
        </w:rPr>
        <w:t xml:space="preserve">: To provide supplemental information relevant to the review of proposed courses for designation as MA and inclusion in UVM’s Catamount Core curriculum. </w:t>
      </w:r>
      <w:r w:rsidRPr="1845F5D8">
        <w:rPr>
          <w:rFonts w:ascii="Cambria" w:eastAsia="MS Mincho" w:hAnsi="Cambria" w:cs="Calibri"/>
          <w:i/>
          <w:iCs/>
          <w:color w:val="000000" w:themeColor="text1"/>
          <w:sz w:val="24"/>
          <w:szCs w:val="24"/>
        </w:rPr>
        <w:t>Note: Courses cannot have both an MA and QD designation.</w:t>
      </w:r>
    </w:p>
    <w:p w14:paraId="4193B79A" w14:textId="77777777" w:rsidR="00F348FC" w:rsidRPr="00F348FC" w:rsidRDefault="00F348FC" w:rsidP="00F348FC">
      <w:pPr>
        <w:spacing w:after="0" w:line="240" w:lineRule="auto"/>
        <w:rPr>
          <w:rFonts w:ascii="Cambria" w:eastAsia="MS Mincho" w:hAnsi="Cambria" w:cs="Calibri"/>
          <w:i/>
          <w:iCs/>
          <w:color w:val="000000"/>
          <w:sz w:val="24"/>
          <w:szCs w:val="24"/>
        </w:rPr>
      </w:pPr>
    </w:p>
    <w:p w14:paraId="6C407967" w14:textId="77777777" w:rsidR="00F348FC" w:rsidRPr="004B49DC" w:rsidRDefault="00F348FC" w:rsidP="00F348FC">
      <w:pPr>
        <w:rPr>
          <w:rFonts w:ascii="Cambria" w:eastAsia="MS Mincho" w:hAnsi="Cambria" w:cs="Calibri"/>
          <w:color w:val="000000"/>
        </w:rPr>
      </w:pPr>
      <w:r w:rsidRPr="004B49DC">
        <w:rPr>
          <w:rFonts w:ascii="Cambria" w:eastAsia="MS Mincho" w:hAnsi="Cambria" w:cs="Calibri"/>
          <w:color w:val="000000"/>
          <w:sz w:val="24"/>
          <w:szCs w:val="24"/>
        </w:rPr>
        <w:t xml:space="preserve">The Submission Process and Approval Criteria, as well as the Rubric that the Catamount Core Curriculum Committee will use to review this proposal, </w:t>
      </w:r>
      <w:proofErr w:type="gramStart"/>
      <w:r w:rsidRPr="004B49DC">
        <w:rPr>
          <w:rFonts w:ascii="Cambria" w:eastAsia="MS Mincho" w:hAnsi="Cambria" w:cs="Calibri"/>
          <w:color w:val="000000"/>
          <w:sz w:val="24"/>
          <w:szCs w:val="24"/>
        </w:rPr>
        <w:t>can be found</w:t>
      </w:r>
      <w:proofErr w:type="gramEnd"/>
      <w:r w:rsidRPr="004B49DC">
        <w:rPr>
          <w:rFonts w:ascii="Cambria" w:eastAsia="MS Mincho" w:hAnsi="Cambria" w:cs="Calibri"/>
          <w:color w:val="000000"/>
          <w:sz w:val="24"/>
          <w:szCs w:val="24"/>
        </w:rPr>
        <w:t xml:space="preserve"> on the following pages of this document.</w:t>
      </w: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F348FC" w14:paraId="30C8E935" w14:textId="77777777" w:rsidTr="007241F2">
        <w:tc>
          <w:tcPr>
            <w:tcW w:w="10790" w:type="dxa"/>
            <w:vAlign w:val="center"/>
          </w:tcPr>
          <w:p w14:paraId="0843BA4B" w14:textId="77777777" w:rsidR="00F348FC" w:rsidRPr="00633D81" w:rsidRDefault="00F348FC" w:rsidP="007241F2">
            <w:pPr>
              <w:jc w:val="center"/>
              <w:rPr>
                <w:rFonts w:ascii="Cambria" w:hAnsi="Cambria" w:cs="Segoe UI"/>
              </w:rPr>
            </w:pPr>
          </w:p>
          <w:p w14:paraId="294E814D" w14:textId="77777777" w:rsidR="00F348FC" w:rsidRPr="00633D81" w:rsidRDefault="00F348FC"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43C32756" w14:textId="77777777" w:rsidR="00F348FC" w:rsidRPr="00633D81" w:rsidRDefault="00F348FC" w:rsidP="007241F2">
            <w:pPr>
              <w:jc w:val="center"/>
              <w:rPr>
                <w:rFonts w:ascii="Cambria" w:hAnsi="Cambria" w:cs="Segoe UI"/>
              </w:rPr>
            </w:pPr>
          </w:p>
        </w:tc>
      </w:tr>
    </w:tbl>
    <w:p w14:paraId="6A92546C" w14:textId="0ABD94F2" w:rsidR="004B49DC" w:rsidRDefault="004B49DC" w:rsidP="002F3A18">
      <w:pPr>
        <w:spacing w:after="0" w:line="240" w:lineRule="auto"/>
        <w:rPr>
          <w:rFonts w:ascii="Cambria" w:eastAsia="MS Mincho" w:hAnsi="Cambria" w:cs="Calibri"/>
          <w:color w:val="000000"/>
          <w:sz w:val="24"/>
          <w:szCs w:val="24"/>
        </w:rPr>
      </w:pPr>
    </w:p>
    <w:p w14:paraId="54AF75F4" w14:textId="77777777" w:rsidR="004B49DC" w:rsidRPr="00F32431" w:rsidRDefault="004B49DC" w:rsidP="004B49DC">
      <w:pPr>
        <w:pBdr>
          <w:bottom w:val="single" w:sz="6" w:space="1" w:color="auto"/>
        </w:pBdr>
        <w:rPr>
          <w:rFonts w:ascii="Cambria" w:hAnsi="Cambria" w:cstheme="minorHAnsi"/>
          <w:color w:val="000000" w:themeColor="text1"/>
        </w:rPr>
      </w:pPr>
    </w:p>
    <w:p w14:paraId="41899EE1" w14:textId="77777777" w:rsidR="002F3A18" w:rsidRPr="004B49DC" w:rsidRDefault="002F3A18" w:rsidP="002F3A18">
      <w:pPr>
        <w:spacing w:after="0" w:line="240" w:lineRule="auto"/>
        <w:rPr>
          <w:rFonts w:ascii="Cambria" w:eastAsia="MS Mincho" w:hAnsi="Cambria" w:cs="Calibri"/>
          <w:color w:val="000000"/>
          <w:sz w:val="24"/>
          <w:szCs w:val="24"/>
        </w:rPr>
      </w:pPr>
      <w:r w:rsidRPr="004B49DC">
        <w:rPr>
          <w:rFonts w:ascii="Cambria" w:eastAsia="MS Mincho" w:hAnsi="Cambria" w:cs="Calibri"/>
          <w:color w:val="000000"/>
          <w:sz w:val="24"/>
          <w:szCs w:val="24"/>
        </w:rPr>
        <w:t>To assist students in understanding how courses in each Catamount Core category contribute to UVM’s general education program, please include the following language in a prominent location in your syllabus (e.g. after the course description):</w:t>
      </w:r>
    </w:p>
    <w:p w14:paraId="57A10118" w14:textId="77777777" w:rsidR="002F3A18" w:rsidRPr="004B49DC" w:rsidRDefault="002F3A18" w:rsidP="002F3A18">
      <w:pPr>
        <w:spacing w:after="0" w:line="240" w:lineRule="auto"/>
        <w:rPr>
          <w:rFonts w:ascii="Cambria" w:eastAsia="MS Mincho" w:hAnsi="Cambria" w:cs="Calibri"/>
          <w:color w:val="000000"/>
          <w:sz w:val="24"/>
          <w:szCs w:val="24"/>
        </w:rPr>
      </w:pPr>
    </w:p>
    <w:p w14:paraId="56B3CA03" w14:textId="2C780DC4" w:rsidR="002F3A18" w:rsidRPr="004B49DC" w:rsidRDefault="00D37339" w:rsidP="002F3A18">
      <w:pPr>
        <w:spacing w:after="0" w:line="240" w:lineRule="auto"/>
        <w:rPr>
          <w:rFonts w:ascii="Cambria" w:eastAsia="MS Mincho" w:hAnsi="Cambria" w:cs="Cambria"/>
          <w:sz w:val="24"/>
          <w:szCs w:val="24"/>
        </w:rPr>
      </w:pPr>
      <w:r w:rsidRPr="004B49DC">
        <w:rPr>
          <w:rFonts w:ascii="Cambria" w:eastAsia="MS Mincho" w:hAnsi="Cambria" w:cs="Calibri"/>
          <w:b/>
          <w:bCs/>
          <w:color w:val="000000"/>
          <w:sz w:val="24"/>
          <w:szCs w:val="24"/>
        </w:rPr>
        <w:t>MA: Pure Mathematics</w:t>
      </w:r>
      <w:r w:rsidRPr="004B49DC">
        <w:rPr>
          <w:rFonts w:ascii="Cambria" w:eastAsia="MS Mincho" w:hAnsi="Cambria" w:cs="Cambria"/>
          <w:sz w:val="24"/>
          <w:szCs w:val="24"/>
        </w:rPr>
        <w:t xml:space="preserve"> </w:t>
      </w:r>
      <w:r>
        <w:rPr>
          <w:rFonts w:ascii="Cambria" w:eastAsia="MS Mincho" w:hAnsi="Cambria" w:cs="Cambria"/>
          <w:sz w:val="24"/>
          <w:szCs w:val="24"/>
        </w:rPr>
        <w:br/>
      </w:r>
      <w:r w:rsidR="002F3A18" w:rsidRPr="004B49DC">
        <w:rPr>
          <w:rFonts w:ascii="Cambria" w:eastAsia="MS Mincho" w:hAnsi="Cambria" w:cs="Cambria"/>
          <w:sz w:val="24"/>
          <w:szCs w:val="24"/>
        </w:rPr>
        <w:t xml:space="preserve">Familiarity with the language and concepts of mathematics fosters a full appreciation of our world, and is an integral component of the Liberal Arts; the phrase “Math is </w:t>
      </w:r>
      <w:proofErr w:type="gramStart"/>
      <w:r w:rsidR="002F3A18" w:rsidRPr="004B49DC">
        <w:rPr>
          <w:rFonts w:ascii="Cambria" w:eastAsia="MS Mincho" w:hAnsi="Cambria" w:cs="Cambria"/>
          <w:sz w:val="24"/>
          <w:szCs w:val="24"/>
        </w:rPr>
        <w:t>Everywhere</w:t>
      </w:r>
      <w:proofErr w:type="gramEnd"/>
      <w:r w:rsidR="002F3A18" w:rsidRPr="004B49DC">
        <w:rPr>
          <w:rFonts w:ascii="Cambria" w:eastAsia="MS Mincho" w:hAnsi="Cambria" w:cs="Cambria"/>
          <w:sz w:val="24"/>
          <w:szCs w:val="24"/>
        </w:rPr>
        <w:t xml:space="preserve">” is true only to the extent that one knows where and how to look. The courses fulfilling this requirement help guide students in developing conceptual understanding of </w:t>
      </w:r>
      <w:r w:rsidR="002F3A18" w:rsidRPr="004B49DC">
        <w:rPr>
          <w:rFonts w:ascii="Cambria" w:eastAsia="MS Mincho" w:hAnsi="Cambria" w:cs="Cambria"/>
          <w:sz w:val="24"/>
          <w:szCs w:val="24"/>
        </w:rPr>
        <w:lastRenderedPageBreak/>
        <w:t xml:space="preserve">mathematics through engagement with the language of mathematics and processes of mathematical operations. In addition to illustrating the universality and beauty of mathematics, these courses will give student practice in constructing and </w:t>
      </w:r>
      <w:proofErr w:type="gramStart"/>
      <w:r w:rsidR="002F3A18" w:rsidRPr="004B49DC">
        <w:rPr>
          <w:rFonts w:ascii="Cambria" w:eastAsia="MS Mincho" w:hAnsi="Cambria" w:cs="Cambria"/>
          <w:sz w:val="24"/>
          <w:szCs w:val="24"/>
        </w:rPr>
        <w:t>critiquing</w:t>
      </w:r>
      <w:proofErr w:type="gramEnd"/>
      <w:r w:rsidR="002F3A18" w:rsidRPr="004B49DC">
        <w:rPr>
          <w:rFonts w:ascii="Cambria" w:eastAsia="MS Mincho" w:hAnsi="Cambria" w:cs="Cambria"/>
          <w:sz w:val="24"/>
          <w:szCs w:val="24"/>
        </w:rPr>
        <w:t xml:space="preserve"> arguments through mathematics. </w:t>
      </w:r>
    </w:p>
    <w:p w14:paraId="74FDC625" w14:textId="77777777" w:rsidR="004B49DC" w:rsidRPr="00F32431" w:rsidRDefault="004B49DC" w:rsidP="004B49DC">
      <w:pPr>
        <w:pBdr>
          <w:bottom w:val="single" w:sz="6" w:space="1" w:color="auto"/>
        </w:pBdr>
        <w:rPr>
          <w:rFonts w:ascii="Cambria" w:hAnsi="Cambria" w:cstheme="minorHAnsi"/>
          <w:color w:val="000000" w:themeColor="text1"/>
        </w:rPr>
      </w:pPr>
    </w:p>
    <w:p w14:paraId="4ACBA7DC" w14:textId="77777777" w:rsidR="00F348FC" w:rsidRPr="00836004" w:rsidRDefault="00F348FC" w:rsidP="00F348FC">
      <w:pPr>
        <w:jc w:val="center"/>
        <w:rPr>
          <w:rFonts w:ascii="Cambria" w:eastAsia="MS Mincho" w:hAnsi="Cambria" w:cs="Calibri"/>
          <w:b/>
          <w:color w:val="000000"/>
          <w:sz w:val="24"/>
          <w:szCs w:val="24"/>
        </w:rPr>
      </w:pPr>
      <w:r w:rsidRPr="00836004">
        <w:rPr>
          <w:rFonts w:ascii="Cambria" w:eastAsia="MS Mincho" w:hAnsi="Cambria" w:cs="Calibri"/>
          <w:b/>
          <w:color w:val="000000"/>
          <w:sz w:val="28"/>
          <w:szCs w:val="24"/>
        </w:rPr>
        <w:t>Course Information</w:t>
      </w:r>
    </w:p>
    <w:tbl>
      <w:tblPr>
        <w:tblStyle w:val="TableGrid"/>
        <w:tblW w:w="0" w:type="auto"/>
        <w:tblLook w:val="04A0" w:firstRow="1" w:lastRow="0" w:firstColumn="1" w:lastColumn="0" w:noHBand="0" w:noVBand="1"/>
      </w:tblPr>
      <w:tblGrid>
        <w:gridCol w:w="3325"/>
        <w:gridCol w:w="7465"/>
      </w:tblGrid>
      <w:tr w:rsidR="00F348FC" w14:paraId="2CDB6D54" w14:textId="77777777" w:rsidTr="007241F2">
        <w:tc>
          <w:tcPr>
            <w:tcW w:w="3325" w:type="dxa"/>
          </w:tcPr>
          <w:p w14:paraId="01F38203" w14:textId="77777777" w:rsidR="00F348FC" w:rsidRPr="00633D81" w:rsidRDefault="00F348FC" w:rsidP="007241F2">
            <w:pPr>
              <w:jc w:val="right"/>
              <w:rPr>
                <w:rFonts w:ascii="Cambria" w:hAnsi="Cambria" w:cs="Segoe UI"/>
                <w:b/>
              </w:rPr>
            </w:pPr>
            <w:r w:rsidRPr="00633D81">
              <w:rPr>
                <w:rFonts w:ascii="Cambria" w:hAnsi="Cambria" w:cs="Segoe UI"/>
                <w:b/>
              </w:rPr>
              <w:t>Course Number:</w:t>
            </w:r>
          </w:p>
        </w:tc>
        <w:tc>
          <w:tcPr>
            <w:tcW w:w="7465" w:type="dxa"/>
          </w:tcPr>
          <w:p w14:paraId="75CF4D75" w14:textId="77777777" w:rsidR="00F348FC" w:rsidRPr="00633D81" w:rsidRDefault="00F348FC" w:rsidP="007241F2">
            <w:pPr>
              <w:rPr>
                <w:rFonts w:ascii="Cambria" w:hAnsi="Cambria" w:cs="Segoe UI"/>
              </w:rPr>
            </w:pPr>
          </w:p>
        </w:tc>
      </w:tr>
      <w:tr w:rsidR="00F348FC" w14:paraId="5556F16A" w14:textId="77777777" w:rsidTr="007241F2">
        <w:tc>
          <w:tcPr>
            <w:tcW w:w="3325" w:type="dxa"/>
          </w:tcPr>
          <w:p w14:paraId="78FE089A" w14:textId="77777777" w:rsidR="00F348FC" w:rsidRPr="00633D81" w:rsidRDefault="00F348FC" w:rsidP="007241F2">
            <w:pPr>
              <w:jc w:val="right"/>
              <w:rPr>
                <w:rFonts w:ascii="Cambria" w:hAnsi="Cambria" w:cs="Segoe UI"/>
                <w:b/>
              </w:rPr>
            </w:pPr>
            <w:r w:rsidRPr="00633D81">
              <w:rPr>
                <w:rFonts w:ascii="Cambria" w:hAnsi="Cambria" w:cs="Segoe UI"/>
                <w:b/>
              </w:rPr>
              <w:t>Course Title:</w:t>
            </w:r>
          </w:p>
        </w:tc>
        <w:tc>
          <w:tcPr>
            <w:tcW w:w="7465" w:type="dxa"/>
          </w:tcPr>
          <w:p w14:paraId="449CFB06" w14:textId="77777777" w:rsidR="00F348FC" w:rsidRPr="00633D81" w:rsidRDefault="00F348FC" w:rsidP="007241F2">
            <w:pPr>
              <w:rPr>
                <w:rFonts w:ascii="Cambria" w:hAnsi="Cambria" w:cs="Segoe UI"/>
              </w:rPr>
            </w:pPr>
          </w:p>
        </w:tc>
      </w:tr>
      <w:tr w:rsidR="00F348FC" w14:paraId="1244D530" w14:textId="77777777" w:rsidTr="007241F2">
        <w:tc>
          <w:tcPr>
            <w:tcW w:w="3325" w:type="dxa"/>
          </w:tcPr>
          <w:p w14:paraId="0378605B" w14:textId="77777777" w:rsidR="00F348FC" w:rsidRPr="00633D81" w:rsidRDefault="00F348FC" w:rsidP="007241F2">
            <w:pPr>
              <w:jc w:val="right"/>
              <w:rPr>
                <w:rFonts w:ascii="Cambria" w:hAnsi="Cambria" w:cs="Segoe UI"/>
                <w:b/>
              </w:rPr>
            </w:pPr>
            <w:r w:rsidRPr="00633D81">
              <w:rPr>
                <w:rFonts w:ascii="Cambria" w:hAnsi="Cambria" w:cs="Segoe UI"/>
                <w:b/>
              </w:rPr>
              <w:t>Name of Faculty Member:</w:t>
            </w:r>
          </w:p>
        </w:tc>
        <w:tc>
          <w:tcPr>
            <w:tcW w:w="7465" w:type="dxa"/>
          </w:tcPr>
          <w:p w14:paraId="3C15254D" w14:textId="77777777" w:rsidR="00F348FC" w:rsidRPr="00633D81" w:rsidRDefault="00F348FC" w:rsidP="007241F2">
            <w:pPr>
              <w:rPr>
                <w:rFonts w:ascii="Cambria" w:hAnsi="Cambria" w:cs="Segoe UI"/>
              </w:rPr>
            </w:pPr>
          </w:p>
        </w:tc>
      </w:tr>
      <w:tr w:rsidR="00F348FC" w14:paraId="2FB574D4" w14:textId="77777777" w:rsidTr="007241F2">
        <w:tc>
          <w:tcPr>
            <w:tcW w:w="3325" w:type="dxa"/>
          </w:tcPr>
          <w:p w14:paraId="75B36096" w14:textId="77777777" w:rsidR="00F348FC" w:rsidRPr="00633D81" w:rsidRDefault="00F348FC" w:rsidP="007241F2">
            <w:pPr>
              <w:jc w:val="right"/>
              <w:rPr>
                <w:rFonts w:ascii="Cambria" w:hAnsi="Cambria" w:cs="Segoe UI"/>
                <w:b/>
              </w:rPr>
            </w:pPr>
            <w:r w:rsidRPr="00633D81">
              <w:rPr>
                <w:rFonts w:ascii="Cambria" w:hAnsi="Cambria" w:cs="Segoe UI"/>
                <w:b/>
              </w:rPr>
              <w:t>Email Address:</w:t>
            </w:r>
          </w:p>
        </w:tc>
        <w:tc>
          <w:tcPr>
            <w:tcW w:w="7465" w:type="dxa"/>
          </w:tcPr>
          <w:p w14:paraId="7D8D45A3" w14:textId="77777777" w:rsidR="00F348FC" w:rsidRPr="00633D81" w:rsidRDefault="00F348FC" w:rsidP="007241F2">
            <w:pPr>
              <w:rPr>
                <w:rFonts w:ascii="Cambria" w:hAnsi="Cambria" w:cs="Segoe UI"/>
              </w:rPr>
            </w:pPr>
          </w:p>
        </w:tc>
      </w:tr>
    </w:tbl>
    <w:p w14:paraId="5F4FB12C" w14:textId="77777777" w:rsidR="00F348FC" w:rsidRDefault="00F348FC" w:rsidP="00F348FC"/>
    <w:tbl>
      <w:tblPr>
        <w:tblStyle w:val="TableGrid"/>
        <w:tblW w:w="0" w:type="auto"/>
        <w:tblLook w:val="04A0" w:firstRow="1" w:lastRow="0" w:firstColumn="1" w:lastColumn="0" w:noHBand="0" w:noVBand="1"/>
      </w:tblPr>
      <w:tblGrid>
        <w:gridCol w:w="5665"/>
        <w:gridCol w:w="5125"/>
      </w:tblGrid>
      <w:tr w:rsidR="00F348FC" w14:paraId="571E3206" w14:textId="77777777" w:rsidTr="007241F2">
        <w:tc>
          <w:tcPr>
            <w:tcW w:w="5665" w:type="dxa"/>
          </w:tcPr>
          <w:p w14:paraId="0F4CBBC1" w14:textId="77777777" w:rsidR="00F348FC" w:rsidRPr="00633D81" w:rsidRDefault="00F348FC"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0DCB9BA1" w14:textId="77777777" w:rsidR="00F348FC" w:rsidRPr="00633D81" w:rsidRDefault="00F348FC"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3C71F569" w14:textId="785A7B89" w:rsidR="00F348FC" w:rsidRPr="001B2513" w:rsidRDefault="00F348FC" w:rsidP="00F348FC">
      <w:pPr>
        <w:jc w:val="right"/>
        <w:rPr>
          <w:rFonts w:ascii="Segoe UI" w:hAnsi="Segoe UI" w:cs="Segoe UI"/>
          <w:sz w:val="16"/>
          <w:szCs w:val="16"/>
        </w:rPr>
      </w:pPr>
      <w:r>
        <w:br/>
      </w:r>
      <w:r w:rsidRPr="1845F5D8">
        <w:rPr>
          <w:rFonts w:ascii="Segoe UI" w:hAnsi="Segoe UI" w:cs="Segoe UI"/>
          <w:sz w:val="16"/>
          <w:szCs w:val="16"/>
        </w:rPr>
        <w:t xml:space="preserve">[v. </w:t>
      </w:r>
      <w:r w:rsidR="6734988C" w:rsidRPr="1845F5D8">
        <w:rPr>
          <w:rFonts w:ascii="Segoe UI" w:hAnsi="Segoe UI" w:cs="Segoe UI"/>
          <w:sz w:val="16"/>
          <w:szCs w:val="16"/>
        </w:rPr>
        <w:t>2</w:t>
      </w:r>
      <w:r w:rsidRPr="1845F5D8">
        <w:rPr>
          <w:rFonts w:ascii="Segoe UI" w:hAnsi="Segoe UI" w:cs="Segoe UI"/>
          <w:sz w:val="16"/>
          <w:szCs w:val="16"/>
        </w:rPr>
        <w:t>.</w:t>
      </w:r>
      <w:r w:rsidR="554FF764" w:rsidRPr="1845F5D8">
        <w:rPr>
          <w:rFonts w:ascii="Segoe UI" w:hAnsi="Segoe UI" w:cs="Segoe UI"/>
          <w:sz w:val="16"/>
          <w:szCs w:val="16"/>
        </w:rPr>
        <w:t>0</w:t>
      </w:r>
      <w:r w:rsidRPr="1845F5D8">
        <w:rPr>
          <w:rFonts w:ascii="Segoe UI" w:hAnsi="Segoe UI" w:cs="Segoe UI"/>
          <w:sz w:val="16"/>
          <w:szCs w:val="16"/>
        </w:rPr>
        <w:t xml:space="preserve">, </w:t>
      </w:r>
      <w:r w:rsidR="525E7A89" w:rsidRPr="1845F5D8">
        <w:rPr>
          <w:rFonts w:ascii="Segoe UI" w:hAnsi="Segoe UI" w:cs="Segoe UI"/>
          <w:sz w:val="16"/>
          <w:szCs w:val="16"/>
        </w:rPr>
        <w:t>01</w:t>
      </w:r>
      <w:r w:rsidRPr="1845F5D8">
        <w:rPr>
          <w:rFonts w:ascii="Segoe UI" w:hAnsi="Segoe UI" w:cs="Segoe UI"/>
          <w:sz w:val="16"/>
          <w:szCs w:val="16"/>
        </w:rPr>
        <w:t>/202</w:t>
      </w:r>
      <w:r w:rsidR="5BED4B9A" w:rsidRPr="1845F5D8">
        <w:rPr>
          <w:rFonts w:ascii="Segoe UI" w:hAnsi="Segoe UI" w:cs="Segoe UI"/>
          <w:sz w:val="16"/>
          <w:szCs w:val="16"/>
        </w:rPr>
        <w:t>3</w:t>
      </w:r>
      <w:r w:rsidRPr="1845F5D8">
        <w:rPr>
          <w:rFonts w:ascii="Segoe UI" w:hAnsi="Segoe UI" w:cs="Segoe UI"/>
          <w:sz w:val="16"/>
          <w:szCs w:val="16"/>
        </w:rPr>
        <w:t>]</w:t>
      </w:r>
    </w:p>
    <w:p w14:paraId="5B2034E2" w14:textId="77777777" w:rsidR="004B49DC" w:rsidRPr="004B49DC" w:rsidRDefault="004B49DC" w:rsidP="004B49DC">
      <w:pPr>
        <w:rPr>
          <w:rFonts w:ascii="Cambria" w:hAnsi="Cambria" w:cstheme="minorHAnsi"/>
          <w:color w:val="000000" w:themeColor="text1"/>
        </w:rPr>
      </w:pPr>
    </w:p>
    <w:p w14:paraId="22BC1D9F" w14:textId="39FD0533" w:rsidR="004B49DC" w:rsidRDefault="004B49DC">
      <w:pPr>
        <w:rPr>
          <w:rFonts w:ascii="Cambria" w:eastAsia="MS Mincho" w:hAnsi="Cambria" w:cs="Calibri"/>
          <w:color w:val="000000"/>
          <w:sz w:val="24"/>
          <w:szCs w:val="24"/>
        </w:rPr>
      </w:pPr>
      <w:r>
        <w:rPr>
          <w:rFonts w:ascii="Cambria" w:eastAsia="MS Mincho" w:hAnsi="Cambria" w:cs="Calibri"/>
          <w:color w:val="000000"/>
          <w:sz w:val="24"/>
          <w:szCs w:val="24"/>
        </w:rPr>
        <w:br w:type="page"/>
      </w:r>
    </w:p>
    <w:p w14:paraId="6F957B3D" w14:textId="77777777" w:rsidR="002F3A18" w:rsidRPr="004B49DC" w:rsidRDefault="002F3A18" w:rsidP="002F3A18">
      <w:pPr>
        <w:spacing w:after="0" w:line="240" w:lineRule="auto"/>
        <w:rPr>
          <w:rFonts w:ascii="Cambria" w:eastAsia="MS Mincho" w:hAnsi="Cambria" w:cs="Calibri"/>
          <w:b/>
          <w:bCs/>
          <w:color w:val="000000"/>
          <w:sz w:val="24"/>
          <w:szCs w:val="24"/>
        </w:rPr>
      </w:pPr>
      <w:r w:rsidRPr="004B49DC">
        <w:rPr>
          <w:rFonts w:ascii="Cambria" w:eastAsia="MS Mincho" w:hAnsi="Cambria" w:cs="Calibri"/>
          <w:b/>
          <w:bCs/>
          <w:color w:val="000000"/>
          <w:sz w:val="24"/>
          <w:szCs w:val="24"/>
        </w:rPr>
        <w:lastRenderedPageBreak/>
        <w:t>Submission Process:</w:t>
      </w:r>
    </w:p>
    <w:p w14:paraId="54A5D263" w14:textId="77777777" w:rsidR="002F3A18" w:rsidRPr="004B49DC" w:rsidRDefault="002F3A18" w:rsidP="002F3A18">
      <w:pPr>
        <w:spacing w:after="0" w:line="240" w:lineRule="auto"/>
        <w:rPr>
          <w:rFonts w:ascii="Cambria" w:eastAsia="MS Mincho" w:hAnsi="Cambria" w:cs="Calibri"/>
          <w:color w:val="000000"/>
          <w:sz w:val="24"/>
          <w:szCs w:val="24"/>
        </w:rPr>
      </w:pPr>
    </w:p>
    <w:p w14:paraId="78850A49" w14:textId="13AEFBF7" w:rsidR="002F3A18" w:rsidRPr="004B49DC" w:rsidRDefault="002F3A18" w:rsidP="002F3A18">
      <w:pPr>
        <w:spacing w:after="0" w:line="240" w:lineRule="auto"/>
        <w:rPr>
          <w:rFonts w:ascii="Cambria" w:eastAsia="MS Mincho" w:hAnsi="Cambria" w:cs="Calibri"/>
          <w:color w:val="000000"/>
          <w:sz w:val="24"/>
          <w:szCs w:val="24"/>
        </w:rPr>
      </w:pPr>
      <w:r w:rsidRPr="004B49DC">
        <w:rPr>
          <w:rFonts w:ascii="Cambria" w:eastAsia="MS Mincho" w:hAnsi="Cambria" w:cs="Calibri"/>
          <w:color w:val="000000"/>
          <w:sz w:val="24"/>
          <w:szCs w:val="24"/>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w:t>
      </w:r>
      <w:proofErr w:type="gramStart"/>
      <w:r w:rsidRPr="004B49DC">
        <w:rPr>
          <w:rFonts w:ascii="Cambria" w:eastAsia="MS Mincho" w:hAnsi="Cambria" w:cs="Calibri"/>
          <w:color w:val="000000"/>
          <w:sz w:val="24"/>
          <w:szCs w:val="24"/>
        </w:rPr>
        <w:t>is provided</w:t>
      </w:r>
      <w:proofErr w:type="gramEnd"/>
      <w:r w:rsidRPr="004B49DC">
        <w:rPr>
          <w:rFonts w:ascii="Cambria" w:eastAsia="MS Mincho" w:hAnsi="Cambria" w:cs="Calibri"/>
          <w:color w:val="000000"/>
          <w:sz w:val="24"/>
          <w:szCs w:val="24"/>
        </w:rPr>
        <w:t xml:space="preserve"> at the very end of this form. The review process can result in </w:t>
      </w:r>
      <w:r w:rsidR="004D4E91">
        <w:rPr>
          <w:rFonts w:ascii="Cambria" w:eastAsia="MS Mincho" w:hAnsi="Cambria" w:cs="Calibri"/>
          <w:color w:val="000000"/>
          <w:sz w:val="24"/>
          <w:szCs w:val="24"/>
        </w:rPr>
        <w:t>one</w:t>
      </w:r>
      <w:r w:rsidRPr="004B49DC">
        <w:rPr>
          <w:rFonts w:ascii="Cambria" w:eastAsia="MS Mincho" w:hAnsi="Cambria" w:cs="Calibri"/>
          <w:color w:val="000000"/>
          <w:sz w:val="24"/>
          <w:szCs w:val="24"/>
        </w:rPr>
        <w:t xml:space="preserve"> of </w:t>
      </w:r>
      <w:r w:rsidR="004D4E91">
        <w:rPr>
          <w:rFonts w:ascii="Cambria" w:eastAsia="MS Mincho" w:hAnsi="Cambria" w:cs="Calibri"/>
          <w:color w:val="000000"/>
          <w:sz w:val="24"/>
          <w:szCs w:val="24"/>
        </w:rPr>
        <w:t>three</w:t>
      </w:r>
      <w:r w:rsidRPr="004B49DC">
        <w:rPr>
          <w:rFonts w:ascii="Cambria" w:eastAsia="MS Mincho" w:hAnsi="Cambria" w:cs="Calibri"/>
          <w:color w:val="000000"/>
          <w:sz w:val="24"/>
          <w:szCs w:val="24"/>
        </w:rPr>
        <w:t xml:space="preserve"> outcomes:</w:t>
      </w:r>
    </w:p>
    <w:p w14:paraId="22E8890F" w14:textId="77777777" w:rsidR="002F3A18" w:rsidRPr="004B49DC" w:rsidRDefault="002F3A18" w:rsidP="002F3A18">
      <w:pPr>
        <w:spacing w:after="0" w:line="240" w:lineRule="auto"/>
        <w:rPr>
          <w:rFonts w:ascii="Cambria" w:eastAsia="MS Mincho" w:hAnsi="Cambria" w:cs="Calibri"/>
          <w:color w:val="000000"/>
          <w:sz w:val="24"/>
          <w:szCs w:val="24"/>
        </w:rPr>
      </w:pPr>
    </w:p>
    <w:p w14:paraId="4DDEC5B6" w14:textId="3EB18180" w:rsidR="002F3A18" w:rsidRPr="004B49DC" w:rsidRDefault="002F3A18" w:rsidP="002F3A18">
      <w:pPr>
        <w:numPr>
          <w:ilvl w:val="0"/>
          <w:numId w:val="6"/>
        </w:numPr>
        <w:spacing w:after="0" w:line="240" w:lineRule="auto"/>
        <w:ind w:left="720"/>
        <w:contextualSpacing/>
        <w:rPr>
          <w:rFonts w:ascii="Cambria" w:eastAsia="MS Mincho" w:hAnsi="Cambria" w:cs="Calibri"/>
          <w:color w:val="000000"/>
          <w:sz w:val="24"/>
          <w:szCs w:val="24"/>
        </w:rPr>
      </w:pPr>
      <w:r w:rsidRPr="004B49DC">
        <w:rPr>
          <w:rFonts w:ascii="Cambria" w:eastAsia="MS Mincho" w:hAnsi="Cambria" w:cs="Calibri"/>
          <w:color w:val="000000"/>
          <w:sz w:val="24"/>
          <w:szCs w:val="24"/>
        </w:rPr>
        <w:t>Approval (the course will be assigned the requested Catamount Core designation for a 5 year-period)</w:t>
      </w:r>
      <w:r w:rsidR="004B49DC">
        <w:rPr>
          <w:rFonts w:ascii="Cambria" w:eastAsia="MS Mincho" w:hAnsi="Cambria" w:cs="Calibri"/>
          <w:color w:val="000000"/>
          <w:sz w:val="24"/>
          <w:szCs w:val="24"/>
        </w:rPr>
        <w:br/>
      </w:r>
    </w:p>
    <w:p w14:paraId="7653B8F8" w14:textId="3AC1CFE9" w:rsidR="002F3A18" w:rsidRPr="004B49DC" w:rsidRDefault="002F3A18" w:rsidP="002F3A18">
      <w:pPr>
        <w:numPr>
          <w:ilvl w:val="0"/>
          <w:numId w:val="6"/>
        </w:numPr>
        <w:spacing w:after="0" w:line="240" w:lineRule="auto"/>
        <w:ind w:left="720"/>
        <w:contextualSpacing/>
        <w:rPr>
          <w:rFonts w:ascii="Cambria" w:eastAsia="MS Mincho" w:hAnsi="Cambria" w:cs="Calibri"/>
          <w:color w:val="000000"/>
          <w:sz w:val="24"/>
          <w:szCs w:val="24"/>
        </w:rPr>
      </w:pPr>
      <w:r w:rsidRPr="004B49DC">
        <w:rPr>
          <w:rFonts w:ascii="Cambria" w:eastAsia="MS Mincho" w:hAnsi="Cambria" w:cs="Calibri"/>
          <w:color w:val="000000"/>
          <w:sz w:val="24"/>
          <w:szCs w:val="24"/>
        </w:rPr>
        <w:t>Revisions requested (the review committee may ask for changes to be made to the course or for additional information prior to approval)</w:t>
      </w:r>
      <w:r w:rsidR="004B49DC">
        <w:rPr>
          <w:rFonts w:ascii="Cambria" w:eastAsia="MS Mincho" w:hAnsi="Cambria" w:cs="Calibri"/>
          <w:color w:val="000000"/>
          <w:sz w:val="24"/>
          <w:szCs w:val="24"/>
        </w:rPr>
        <w:br/>
      </w:r>
    </w:p>
    <w:p w14:paraId="04EC0AD8" w14:textId="77777777" w:rsidR="002F3A18" w:rsidRPr="004B49DC" w:rsidRDefault="002F3A18" w:rsidP="002F3A18">
      <w:pPr>
        <w:numPr>
          <w:ilvl w:val="0"/>
          <w:numId w:val="6"/>
        </w:numPr>
        <w:spacing w:after="0" w:line="240" w:lineRule="auto"/>
        <w:ind w:left="720"/>
        <w:contextualSpacing/>
        <w:rPr>
          <w:rFonts w:ascii="Cambria" w:eastAsia="MS Mincho" w:hAnsi="Cambria" w:cs="Calibri"/>
          <w:color w:val="000000"/>
          <w:sz w:val="24"/>
          <w:szCs w:val="24"/>
        </w:rPr>
      </w:pPr>
      <w:r w:rsidRPr="004B49DC">
        <w:rPr>
          <w:rFonts w:ascii="Cambria" w:eastAsia="MS Mincho" w:hAnsi="Cambria" w:cs="Calibri"/>
          <w:color w:val="000000"/>
          <w:sz w:val="24"/>
          <w:szCs w:val="24"/>
        </w:rPr>
        <w:t>Rejection (the course as currently constructed and/or presented in the submission materials does not meet the approval criteria designation)</w:t>
      </w:r>
    </w:p>
    <w:p w14:paraId="6E68A09C" w14:textId="77777777" w:rsidR="002F3A18" w:rsidRPr="004B49DC" w:rsidRDefault="002F3A18" w:rsidP="002F3A18">
      <w:pPr>
        <w:spacing w:after="0" w:line="240" w:lineRule="auto"/>
        <w:rPr>
          <w:rFonts w:ascii="Cambria" w:eastAsia="MS Mincho" w:hAnsi="Cambria" w:cs="Calibri"/>
          <w:color w:val="000000"/>
          <w:sz w:val="24"/>
          <w:szCs w:val="24"/>
        </w:rPr>
      </w:pPr>
    </w:p>
    <w:p w14:paraId="2B7AC818" w14:textId="3D2C6B4E" w:rsidR="002F3A18" w:rsidRPr="004B49DC" w:rsidRDefault="002F3A18" w:rsidP="002F3A18">
      <w:pPr>
        <w:spacing w:after="0" w:line="240" w:lineRule="auto"/>
        <w:rPr>
          <w:rFonts w:ascii="Cambria" w:eastAsia="MS Mincho" w:hAnsi="Cambria" w:cs="Calibri"/>
          <w:color w:val="000000"/>
          <w:sz w:val="24"/>
          <w:szCs w:val="24"/>
        </w:rPr>
      </w:pPr>
      <w:r w:rsidRPr="004B49DC">
        <w:rPr>
          <w:rFonts w:ascii="Cambria" w:eastAsia="MS Mincho" w:hAnsi="Cambria" w:cs="Calibri"/>
          <w:color w:val="000000"/>
          <w:sz w:val="24"/>
          <w:szCs w:val="24"/>
        </w:rPr>
        <w:t xml:space="preserve">The committee needs both a syllabus, and detailed information about how a course addresses the MA outcomes in order to complete its review.  Information about how the outcomes are addressed can be provided via either a brief narrative </w:t>
      </w:r>
      <w:r w:rsidRPr="004B49DC">
        <w:rPr>
          <w:rFonts w:ascii="Cambria" w:eastAsia="MS Mincho" w:hAnsi="Cambria" w:cs="Calibri"/>
          <w:i/>
          <w:iCs/>
          <w:color w:val="000000"/>
          <w:sz w:val="24"/>
          <w:szCs w:val="24"/>
        </w:rPr>
        <w:t>or</w:t>
      </w:r>
      <w:r w:rsidRPr="004B49DC">
        <w:rPr>
          <w:rFonts w:ascii="Cambria" w:eastAsia="MS Mincho" w:hAnsi="Cambria" w:cs="Calibri"/>
          <w:color w:val="000000"/>
          <w:sz w:val="24"/>
          <w:szCs w:val="24"/>
        </w:rPr>
        <w:t xml:space="preserve"> detailed information in the outcomes chart below. You may choose to include both a narrative and the outcomes chart if that is helpful in providing the committee with necessary information:</w:t>
      </w:r>
    </w:p>
    <w:p w14:paraId="205AFB04" w14:textId="77777777" w:rsidR="002F3A18" w:rsidRPr="004B49DC" w:rsidRDefault="002F3A18" w:rsidP="002F3A18">
      <w:pPr>
        <w:spacing w:after="0" w:line="240" w:lineRule="auto"/>
        <w:rPr>
          <w:rFonts w:ascii="Cambria" w:eastAsia="MS Mincho" w:hAnsi="Cambria" w:cs="Calibri"/>
          <w:color w:val="000000"/>
          <w:sz w:val="24"/>
          <w:szCs w:val="24"/>
        </w:rPr>
      </w:pPr>
    </w:p>
    <w:p w14:paraId="5D5C8811" w14:textId="4A39DCD8" w:rsidR="002F3A18" w:rsidRPr="004B49DC" w:rsidRDefault="002F3A18" w:rsidP="004B49DC">
      <w:pPr>
        <w:numPr>
          <w:ilvl w:val="0"/>
          <w:numId w:val="7"/>
        </w:numPr>
        <w:spacing w:after="0" w:line="240" w:lineRule="auto"/>
        <w:contextualSpacing/>
        <w:rPr>
          <w:rFonts w:ascii="Cambria" w:eastAsia="MS Mincho" w:hAnsi="Cambria" w:cs="Calibri"/>
          <w:color w:val="000000"/>
          <w:sz w:val="24"/>
          <w:szCs w:val="24"/>
        </w:rPr>
      </w:pPr>
      <w:r w:rsidRPr="004B49DC">
        <w:rPr>
          <w:rFonts w:ascii="Cambria" w:eastAsia="MS Mincho" w:hAnsi="Cambria" w:cs="Calibri"/>
          <w:color w:val="000000"/>
          <w:sz w:val="24"/>
          <w:szCs w:val="24"/>
        </w:rPr>
        <w:t xml:space="preserve">A sample course syllabus </w:t>
      </w:r>
      <w:r w:rsidRPr="004B49DC">
        <w:rPr>
          <w:rFonts w:ascii="Cambria" w:eastAsia="MS Mincho" w:hAnsi="Cambria" w:cs="Calibri"/>
          <w:i/>
          <w:iCs/>
          <w:color w:val="000000"/>
          <w:sz w:val="24"/>
          <w:szCs w:val="24"/>
        </w:rPr>
        <w:t>that includes a list of key readings/textbooks and assignments</w:t>
      </w:r>
      <w:r w:rsidRPr="004B49DC">
        <w:rPr>
          <w:rFonts w:ascii="Cambria" w:eastAsia="MS Mincho" w:hAnsi="Cambria" w:cs="Calibri"/>
          <w:color w:val="000000"/>
          <w:sz w:val="24"/>
          <w:szCs w:val="24"/>
        </w:rPr>
        <w:t xml:space="preserve"> as well as the required description of the MA category provided above, as well as listing the specific MA outcomes </w:t>
      </w:r>
      <w:r w:rsidRPr="004B49DC">
        <w:rPr>
          <w:rFonts w:ascii="Cambria" w:eastAsia="MS Mincho" w:hAnsi="Cambria" w:cs="Calibri"/>
          <w:color w:val="000000"/>
          <w:sz w:val="24"/>
          <w:szCs w:val="24"/>
        </w:rPr>
        <w:lastRenderedPageBreak/>
        <w:t>your course meets;</w:t>
      </w:r>
      <w:r w:rsidRPr="004B49DC">
        <w:rPr>
          <w:rFonts w:ascii="Cambria" w:eastAsia="MS Mincho" w:hAnsi="Cambria" w:cs="Calibri"/>
          <w:color w:val="000000"/>
          <w:sz w:val="24"/>
          <w:szCs w:val="24"/>
        </w:rPr>
        <w:br/>
      </w:r>
    </w:p>
    <w:p w14:paraId="2ABF4598" w14:textId="77777777" w:rsidR="004B49DC" w:rsidRPr="004B49DC" w:rsidRDefault="002F3A18" w:rsidP="004B49DC">
      <w:pPr>
        <w:pStyle w:val="ListParagraph"/>
        <w:spacing w:after="0" w:line="240" w:lineRule="auto"/>
        <w:rPr>
          <w:rFonts w:ascii="Cambria" w:eastAsia="MS Mincho" w:hAnsi="Cambria" w:cs="Calibri"/>
          <w:color w:val="000000"/>
          <w:sz w:val="24"/>
          <w:szCs w:val="24"/>
        </w:rPr>
      </w:pPr>
      <w:proofErr w:type="gramStart"/>
      <w:r w:rsidRPr="004B49DC">
        <w:rPr>
          <w:rFonts w:ascii="Cambria" w:eastAsia="MS Mincho" w:hAnsi="Cambria" w:cs="Calibri"/>
          <w:color w:val="000000"/>
          <w:sz w:val="24"/>
          <w:szCs w:val="24"/>
        </w:rPr>
        <w:t>PLUS</w:t>
      </w:r>
      <w:proofErr w:type="gramEnd"/>
      <w:r w:rsidR="004B49DC" w:rsidRPr="004B49DC">
        <w:rPr>
          <w:rFonts w:ascii="Cambria" w:eastAsia="MS Mincho" w:hAnsi="Cambria" w:cs="Calibri"/>
          <w:color w:val="000000"/>
          <w:sz w:val="24"/>
          <w:szCs w:val="24"/>
        </w:rPr>
        <w:t>,</w:t>
      </w:r>
      <w:r w:rsidRPr="004B49DC">
        <w:rPr>
          <w:rFonts w:ascii="Cambria" w:eastAsia="MS Mincho" w:hAnsi="Cambria" w:cs="Calibri"/>
          <w:color w:val="000000"/>
          <w:sz w:val="24"/>
          <w:szCs w:val="24"/>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p>
    <w:p w14:paraId="5E2E243B" w14:textId="77777777" w:rsidR="004B49DC" w:rsidRDefault="004B49DC" w:rsidP="004B49DC">
      <w:pPr>
        <w:spacing w:after="0" w:line="240" w:lineRule="auto"/>
        <w:contextualSpacing/>
        <w:rPr>
          <w:rFonts w:ascii="Cambria" w:eastAsia="MS Mincho" w:hAnsi="Cambria" w:cs="Calibri"/>
          <w:color w:val="000000"/>
          <w:sz w:val="24"/>
          <w:szCs w:val="24"/>
        </w:rPr>
      </w:pPr>
    </w:p>
    <w:p w14:paraId="50119307" w14:textId="1487ACD9" w:rsidR="002F3A18" w:rsidRPr="004B49DC" w:rsidRDefault="002F3A18" w:rsidP="004B49DC">
      <w:pPr>
        <w:pStyle w:val="ListParagraph"/>
        <w:numPr>
          <w:ilvl w:val="0"/>
          <w:numId w:val="7"/>
        </w:numPr>
        <w:spacing w:after="0" w:line="240" w:lineRule="auto"/>
        <w:rPr>
          <w:rFonts w:ascii="Cambria" w:eastAsia="MS Mincho" w:hAnsi="Cambria" w:cs="Calibri"/>
          <w:color w:val="000000"/>
          <w:sz w:val="24"/>
          <w:szCs w:val="24"/>
        </w:rPr>
      </w:pPr>
      <w:r w:rsidRPr="004B49DC">
        <w:rPr>
          <w:rFonts w:ascii="Cambria" w:eastAsia="MS Mincho" w:hAnsi="Cambria" w:cs="Calibri"/>
          <w:color w:val="000000"/>
          <w:sz w:val="24"/>
          <w:szCs w:val="24"/>
        </w:rPr>
        <w:t>A brief narrative (approximately one single-spaced page) that addresses the following:</w:t>
      </w:r>
    </w:p>
    <w:p w14:paraId="4D425819" w14:textId="77777777" w:rsidR="002F3A18" w:rsidRPr="004B49DC" w:rsidRDefault="002F3A18" w:rsidP="004B49DC">
      <w:pPr>
        <w:numPr>
          <w:ilvl w:val="1"/>
          <w:numId w:val="7"/>
        </w:numPr>
        <w:spacing w:after="0" w:line="240" w:lineRule="auto"/>
        <w:contextualSpacing/>
        <w:rPr>
          <w:rFonts w:ascii="Cambria" w:eastAsia="MS Mincho" w:hAnsi="Cambria" w:cs="Calibri"/>
          <w:color w:val="000000"/>
          <w:sz w:val="24"/>
          <w:szCs w:val="24"/>
        </w:rPr>
      </w:pPr>
      <w:r w:rsidRPr="004B49DC">
        <w:rPr>
          <w:rFonts w:ascii="Cambria" w:eastAsia="MS Mincho" w:hAnsi="Cambria" w:cs="Calibri"/>
          <w:color w:val="000000"/>
          <w:sz w:val="24"/>
          <w:szCs w:val="24"/>
        </w:rPr>
        <w:t xml:space="preserve">Briefly describe how the course meets the approval criterion below. </w:t>
      </w:r>
    </w:p>
    <w:p w14:paraId="07903124" w14:textId="7A01A0D5" w:rsidR="00404EB7" w:rsidRDefault="002F3A18" w:rsidP="00404EB7">
      <w:pPr>
        <w:numPr>
          <w:ilvl w:val="1"/>
          <w:numId w:val="7"/>
        </w:numPr>
        <w:spacing w:after="0" w:line="240" w:lineRule="auto"/>
        <w:contextualSpacing/>
        <w:rPr>
          <w:rFonts w:ascii="Cambria" w:eastAsia="MS Mincho" w:hAnsi="Cambria" w:cs="Calibri"/>
          <w:color w:val="000000"/>
          <w:sz w:val="24"/>
          <w:szCs w:val="24"/>
        </w:rPr>
      </w:pPr>
      <w:r w:rsidRPr="004B49DC">
        <w:rPr>
          <w:rFonts w:ascii="Cambria" w:eastAsia="MS Mincho" w:hAnsi="Cambria" w:cs="Calibri"/>
          <w:color w:val="000000"/>
          <w:sz w:val="24"/>
          <w:szCs w:val="24"/>
        </w:rPr>
        <w:t>If not including the outcomes chart below, briefly summarize relevant topics/and learning activities and how and where students’ achievement of the outcomes will be assessed (e.g. research paper; creative work; exam question; presentation)</w:t>
      </w:r>
      <w:r w:rsidR="00D37339">
        <w:rPr>
          <w:rFonts w:ascii="Cambria" w:eastAsia="MS Mincho" w:hAnsi="Cambria" w:cs="Calibri"/>
          <w:color w:val="000000"/>
          <w:sz w:val="24"/>
          <w:szCs w:val="24"/>
        </w:rPr>
        <w:t>.</w:t>
      </w:r>
    </w:p>
    <w:p w14:paraId="47195B0D" w14:textId="4E480431" w:rsidR="00404EB7" w:rsidRPr="00404EB7" w:rsidRDefault="002F3A18" w:rsidP="00404EB7">
      <w:pPr>
        <w:numPr>
          <w:ilvl w:val="1"/>
          <w:numId w:val="7"/>
        </w:numPr>
        <w:spacing w:after="0" w:line="240" w:lineRule="auto"/>
        <w:contextualSpacing/>
        <w:rPr>
          <w:rFonts w:ascii="Cambria" w:eastAsia="MS Mincho" w:hAnsi="Cambria" w:cs="Calibri"/>
          <w:color w:val="000000"/>
          <w:sz w:val="24"/>
          <w:szCs w:val="24"/>
        </w:rPr>
      </w:pPr>
      <w:r w:rsidRPr="00404EB7">
        <w:rPr>
          <w:rFonts w:ascii="Cambria" w:eastAsia="MS Mincho" w:hAnsi="Cambria" w:cs="Times New Roman"/>
          <w:sz w:val="24"/>
          <w:szCs w:val="24"/>
        </w:rPr>
        <w:t>Any other contextual information that can assist the committee in its review</w:t>
      </w:r>
      <w:r w:rsidR="00404EB7" w:rsidRPr="00404EB7">
        <w:rPr>
          <w:rFonts w:ascii="Cambria" w:eastAsia="MS Mincho" w:hAnsi="Cambria" w:cs="Times New Roman"/>
          <w:sz w:val="24"/>
          <w:szCs w:val="24"/>
        </w:rPr>
        <w:t>.</w:t>
      </w:r>
      <w:r w:rsidRPr="00404EB7">
        <w:rPr>
          <w:rFonts w:ascii="Cambria" w:eastAsia="MS Mincho" w:hAnsi="Cambria" w:cs="Times New Roman"/>
          <w:sz w:val="24"/>
          <w:szCs w:val="24"/>
        </w:rPr>
        <w:t xml:space="preserve">  </w:t>
      </w:r>
      <w:r w:rsidR="00404EB7">
        <w:rPr>
          <w:rFonts w:ascii="Cambria" w:eastAsia="MS Mincho" w:hAnsi="Cambria" w:cs="Times New Roman"/>
          <w:sz w:val="24"/>
          <w:szCs w:val="24"/>
        </w:rPr>
        <w:br/>
      </w:r>
    </w:p>
    <w:p w14:paraId="3177CF2F" w14:textId="32C6DF89" w:rsidR="002F3A18" w:rsidRPr="00404EB7" w:rsidRDefault="002F3A18" w:rsidP="00404EB7">
      <w:pPr>
        <w:numPr>
          <w:ilvl w:val="0"/>
          <w:numId w:val="7"/>
        </w:numPr>
        <w:spacing w:after="0" w:line="240" w:lineRule="auto"/>
        <w:contextualSpacing/>
        <w:rPr>
          <w:rFonts w:ascii="Cambria" w:eastAsia="MS Mincho" w:hAnsi="Cambria" w:cs="Calibri"/>
          <w:color w:val="000000"/>
          <w:sz w:val="24"/>
          <w:szCs w:val="24"/>
        </w:rPr>
      </w:pPr>
      <w:r w:rsidRPr="00404EB7">
        <w:rPr>
          <w:rFonts w:ascii="Cambria" w:eastAsia="MS Mincho" w:hAnsi="Cambria" w:cs="Calibri"/>
          <w:color w:val="000000"/>
          <w:sz w:val="24"/>
          <w:szCs w:val="24"/>
        </w:rPr>
        <w:t xml:space="preserve">The student learning outcomes chart provided below, indicating for each </w:t>
      </w:r>
      <w:proofErr w:type="gramStart"/>
      <w:r w:rsidRPr="00404EB7">
        <w:rPr>
          <w:rFonts w:ascii="Cambria" w:eastAsia="MS Mincho" w:hAnsi="Cambria" w:cs="Calibri"/>
          <w:color w:val="000000"/>
          <w:sz w:val="24"/>
          <w:szCs w:val="24"/>
        </w:rPr>
        <w:t>student learning</w:t>
      </w:r>
      <w:proofErr w:type="gramEnd"/>
      <w:r w:rsidRPr="00404EB7">
        <w:rPr>
          <w:rFonts w:ascii="Cambria" w:eastAsia="MS Mincho" w:hAnsi="Cambria" w:cs="Calibri"/>
          <w:color w:val="000000"/>
          <w:sz w:val="24"/>
          <w:szCs w:val="24"/>
        </w:rPr>
        <w:t xml:space="preserve">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48991210" w14:textId="66986186" w:rsidR="004B49DC" w:rsidRDefault="004B49DC">
      <w:pPr>
        <w:rPr>
          <w:rFonts w:ascii="Cambria" w:eastAsia="Times New Roman" w:hAnsi="Cambria" w:cs="Cambria"/>
          <w:b/>
          <w:bCs/>
          <w:color w:val="000000"/>
          <w:sz w:val="24"/>
          <w:szCs w:val="24"/>
        </w:rPr>
      </w:pPr>
      <w:r>
        <w:rPr>
          <w:rFonts w:ascii="Cambria" w:eastAsia="Times New Roman" w:hAnsi="Cambria" w:cs="Cambria"/>
          <w:b/>
          <w:bCs/>
          <w:color w:val="000000"/>
          <w:sz w:val="24"/>
          <w:szCs w:val="24"/>
        </w:rPr>
        <w:br w:type="page"/>
      </w:r>
    </w:p>
    <w:p w14:paraId="0D42AE39" w14:textId="77777777" w:rsidR="002F3A18" w:rsidRPr="004B49DC" w:rsidRDefault="002F3A18" w:rsidP="002F3A18">
      <w:pPr>
        <w:spacing w:after="0" w:line="240" w:lineRule="auto"/>
        <w:rPr>
          <w:rFonts w:ascii="Cambria" w:eastAsia="Times New Roman" w:hAnsi="Cambria" w:cs="Calibri"/>
          <w:color w:val="000000"/>
          <w:sz w:val="24"/>
          <w:szCs w:val="24"/>
        </w:rPr>
      </w:pPr>
    </w:p>
    <w:tbl>
      <w:tblPr>
        <w:tblStyle w:val="TableGrid"/>
        <w:tblW w:w="5000" w:type="pct"/>
        <w:tblLook w:val="04A0" w:firstRow="1" w:lastRow="0" w:firstColumn="1" w:lastColumn="0" w:noHBand="0" w:noVBand="1"/>
      </w:tblPr>
      <w:tblGrid>
        <w:gridCol w:w="4711"/>
        <w:gridCol w:w="3537"/>
        <w:gridCol w:w="2542"/>
      </w:tblGrid>
      <w:tr w:rsidR="002F3A18" w:rsidRPr="004B49DC" w14:paraId="40E50454" w14:textId="77777777" w:rsidTr="00D16284">
        <w:tc>
          <w:tcPr>
            <w:tcW w:w="2183" w:type="pct"/>
          </w:tcPr>
          <w:p w14:paraId="52226772" w14:textId="77777777" w:rsidR="002F3A18" w:rsidRPr="004B49DC" w:rsidRDefault="002F3A18" w:rsidP="002F3A18">
            <w:pPr>
              <w:rPr>
                <w:rFonts w:ascii="Cambria" w:eastAsia="Times New Roman" w:hAnsi="Cambria" w:cs="Calibri"/>
                <w:b/>
                <w:bCs/>
                <w:color w:val="000000"/>
              </w:rPr>
            </w:pPr>
            <w:r w:rsidRPr="004B49DC">
              <w:rPr>
                <w:rFonts w:ascii="Cambria" w:eastAsia="Times New Roman" w:hAnsi="Cambria" w:cs="Calibri"/>
                <w:b/>
                <w:bCs/>
                <w:color w:val="000000"/>
              </w:rPr>
              <w:t>MA Student Learning Outcomes</w:t>
            </w:r>
          </w:p>
        </w:tc>
        <w:tc>
          <w:tcPr>
            <w:tcW w:w="1639" w:type="pct"/>
          </w:tcPr>
          <w:p w14:paraId="0CE7623D" w14:textId="77777777" w:rsidR="002F3A18" w:rsidRPr="004B49DC" w:rsidRDefault="002F3A18" w:rsidP="002F3A18">
            <w:pPr>
              <w:rPr>
                <w:rFonts w:ascii="Cambria" w:eastAsia="Times New Roman" w:hAnsi="Cambria" w:cs="Calibri"/>
                <w:b/>
                <w:bCs/>
                <w:color w:val="000000"/>
              </w:rPr>
            </w:pPr>
            <w:r w:rsidRPr="004B49DC">
              <w:rPr>
                <w:rFonts w:ascii="Cambria" w:eastAsia="Times New Roman" w:hAnsi="Cambria" w:cs="Calibri"/>
                <w:b/>
                <w:bCs/>
                <w:color w:val="000000"/>
              </w:rPr>
              <w:t>Activities/Topics</w:t>
            </w:r>
          </w:p>
        </w:tc>
        <w:tc>
          <w:tcPr>
            <w:tcW w:w="1178" w:type="pct"/>
          </w:tcPr>
          <w:p w14:paraId="23B0637A" w14:textId="77777777" w:rsidR="002F3A18" w:rsidRPr="004B49DC" w:rsidRDefault="002F3A18" w:rsidP="002F3A18">
            <w:pPr>
              <w:rPr>
                <w:rFonts w:ascii="Cambria" w:eastAsia="Times New Roman" w:hAnsi="Cambria" w:cs="Calibri"/>
                <w:b/>
                <w:bCs/>
                <w:color w:val="000000"/>
              </w:rPr>
            </w:pPr>
            <w:r w:rsidRPr="004B49DC">
              <w:rPr>
                <w:rFonts w:ascii="Cambria" w:eastAsia="Times New Roman" w:hAnsi="Cambria" w:cs="Calibri"/>
                <w:b/>
                <w:bCs/>
                <w:color w:val="000000"/>
              </w:rPr>
              <w:t>Assessment</w:t>
            </w:r>
          </w:p>
        </w:tc>
      </w:tr>
      <w:tr w:rsidR="002F3A18" w:rsidRPr="004B49DC" w14:paraId="27737797" w14:textId="77777777" w:rsidTr="00D16284">
        <w:tc>
          <w:tcPr>
            <w:tcW w:w="2183" w:type="pct"/>
          </w:tcPr>
          <w:p w14:paraId="5E299737" w14:textId="77777777" w:rsidR="002948AC" w:rsidRDefault="002F3A18" w:rsidP="002F3A18">
            <w:pPr>
              <w:rPr>
                <w:rFonts w:ascii="Cambria" w:hAnsi="Cambria" w:cs="Cambria"/>
              </w:rPr>
            </w:pPr>
            <w:r w:rsidRPr="004B49DC">
              <w:rPr>
                <w:rFonts w:ascii="Cambria" w:hAnsi="Cambria" w:cs="Cambria"/>
              </w:rPr>
              <w:t>Demonstrate an ability to understand aspects of the world through a mathematical lens</w:t>
            </w:r>
            <w:r w:rsidR="002948AC">
              <w:rPr>
                <w:rFonts w:ascii="Cambria" w:hAnsi="Cambria" w:cs="Cambria"/>
              </w:rPr>
              <w:t>.</w:t>
            </w:r>
          </w:p>
          <w:p w14:paraId="2CE3EF85" w14:textId="495F0AAE" w:rsidR="002F3A18" w:rsidRPr="004B49DC" w:rsidRDefault="002F3A18" w:rsidP="002F3A18">
            <w:pPr>
              <w:rPr>
                <w:rFonts w:ascii="Cambria" w:hAnsi="Cambria" w:cs="Cambria"/>
              </w:rPr>
            </w:pPr>
            <w:r w:rsidRPr="004B49DC">
              <w:rPr>
                <w:rFonts w:ascii="Cambria" w:hAnsi="Cambria" w:cs="Cambria"/>
              </w:rPr>
              <w:t xml:space="preserve"> </w:t>
            </w:r>
          </w:p>
        </w:tc>
        <w:tc>
          <w:tcPr>
            <w:tcW w:w="1639" w:type="pct"/>
          </w:tcPr>
          <w:p w14:paraId="3F689576" w14:textId="77777777" w:rsidR="002F3A18" w:rsidRPr="004B49DC" w:rsidRDefault="002F3A18" w:rsidP="002F3A18">
            <w:pPr>
              <w:rPr>
                <w:rFonts w:ascii="Cambria" w:eastAsia="Times New Roman" w:hAnsi="Cambria" w:cs="Calibri"/>
                <w:color w:val="000000"/>
              </w:rPr>
            </w:pPr>
          </w:p>
        </w:tc>
        <w:tc>
          <w:tcPr>
            <w:tcW w:w="1178" w:type="pct"/>
          </w:tcPr>
          <w:p w14:paraId="2A3AA909" w14:textId="77777777" w:rsidR="002F3A18" w:rsidRPr="004B49DC" w:rsidRDefault="002F3A18" w:rsidP="002F3A18">
            <w:pPr>
              <w:rPr>
                <w:rFonts w:ascii="Cambria" w:eastAsia="Times New Roman" w:hAnsi="Cambria" w:cs="Calibri"/>
                <w:color w:val="000000"/>
              </w:rPr>
            </w:pPr>
          </w:p>
        </w:tc>
      </w:tr>
      <w:tr w:rsidR="002F3A18" w:rsidRPr="004B49DC" w14:paraId="4CB9A36A" w14:textId="77777777" w:rsidTr="00D16284">
        <w:tc>
          <w:tcPr>
            <w:tcW w:w="2183" w:type="pct"/>
          </w:tcPr>
          <w:p w14:paraId="0FF4551C" w14:textId="77777777" w:rsidR="002F3A18" w:rsidRDefault="002F3A18" w:rsidP="002F3A18">
            <w:pPr>
              <w:rPr>
                <w:rFonts w:ascii="Cambria" w:hAnsi="Cambria" w:cs="Cambria"/>
              </w:rPr>
            </w:pPr>
            <w:r w:rsidRPr="004B49DC">
              <w:rPr>
                <w:rFonts w:ascii="Cambria" w:hAnsi="Cambria" w:cs="Cambria"/>
              </w:rPr>
              <w:t>Give examples related to course materials that show how creativity is central to mathematical thinking</w:t>
            </w:r>
            <w:r w:rsidR="002948AC">
              <w:rPr>
                <w:rFonts w:ascii="Cambria" w:hAnsi="Cambria" w:cs="Cambria"/>
              </w:rPr>
              <w:t>.</w:t>
            </w:r>
          </w:p>
          <w:p w14:paraId="13BFB3F9" w14:textId="62C08D29" w:rsidR="002948AC" w:rsidRPr="004B49DC" w:rsidRDefault="002948AC" w:rsidP="002F3A18">
            <w:pPr>
              <w:rPr>
                <w:rFonts w:ascii="Cambria" w:hAnsi="Cambria" w:cs="Cambria"/>
              </w:rPr>
            </w:pPr>
          </w:p>
        </w:tc>
        <w:tc>
          <w:tcPr>
            <w:tcW w:w="1639" w:type="pct"/>
          </w:tcPr>
          <w:p w14:paraId="3C682250" w14:textId="77777777" w:rsidR="002F3A18" w:rsidRPr="004B49DC" w:rsidRDefault="002F3A18" w:rsidP="002F3A18">
            <w:pPr>
              <w:rPr>
                <w:rFonts w:ascii="Cambria" w:eastAsia="Times New Roman" w:hAnsi="Cambria" w:cs="Calibri"/>
                <w:color w:val="000000"/>
              </w:rPr>
            </w:pPr>
          </w:p>
        </w:tc>
        <w:tc>
          <w:tcPr>
            <w:tcW w:w="1178" w:type="pct"/>
          </w:tcPr>
          <w:p w14:paraId="01F91C27" w14:textId="77777777" w:rsidR="002F3A18" w:rsidRPr="004B49DC" w:rsidRDefault="002F3A18" w:rsidP="002F3A18">
            <w:pPr>
              <w:rPr>
                <w:rFonts w:ascii="Cambria" w:eastAsia="Times New Roman" w:hAnsi="Cambria" w:cs="Calibri"/>
                <w:color w:val="000000"/>
              </w:rPr>
            </w:pPr>
          </w:p>
        </w:tc>
      </w:tr>
      <w:tr w:rsidR="002F3A18" w:rsidRPr="004B49DC" w14:paraId="17F7C246" w14:textId="77777777" w:rsidTr="00D16284">
        <w:tc>
          <w:tcPr>
            <w:tcW w:w="2183" w:type="pct"/>
          </w:tcPr>
          <w:p w14:paraId="08BEE98A" w14:textId="77777777" w:rsidR="002F3A18" w:rsidRPr="004B49DC" w:rsidRDefault="002F3A18" w:rsidP="002F3A18">
            <w:pPr>
              <w:rPr>
                <w:rFonts w:ascii="Cambria" w:hAnsi="Cambria" w:cs="Cambria"/>
              </w:rPr>
            </w:pPr>
            <w:r w:rsidRPr="004B49DC">
              <w:rPr>
                <w:rFonts w:ascii="Cambria" w:hAnsi="Cambria" w:cs="Cambria"/>
              </w:rPr>
              <w:t>Be able to demonstrate facility with core mathematical concepts by completing work at the introductory college level or beyond in one area of mathematics.</w:t>
            </w:r>
          </w:p>
          <w:p w14:paraId="1F11F6F3" w14:textId="77777777" w:rsidR="002F3A18" w:rsidRPr="004B49DC" w:rsidRDefault="002F3A18" w:rsidP="002F3A18">
            <w:pPr>
              <w:spacing w:before="100" w:beforeAutospacing="1" w:after="100" w:afterAutospacing="1"/>
              <w:rPr>
                <w:rFonts w:ascii="Cambria" w:eastAsia="Times New Roman" w:hAnsi="Cambria" w:cs="Cambria"/>
              </w:rPr>
            </w:pPr>
          </w:p>
        </w:tc>
        <w:tc>
          <w:tcPr>
            <w:tcW w:w="1639" w:type="pct"/>
          </w:tcPr>
          <w:p w14:paraId="0F3B9B60" w14:textId="77777777" w:rsidR="002F3A18" w:rsidRPr="004B49DC" w:rsidRDefault="002F3A18" w:rsidP="002F3A18">
            <w:pPr>
              <w:rPr>
                <w:rFonts w:ascii="Cambria" w:eastAsia="Times New Roman" w:hAnsi="Cambria" w:cs="Calibri"/>
                <w:color w:val="000000"/>
              </w:rPr>
            </w:pPr>
          </w:p>
        </w:tc>
        <w:tc>
          <w:tcPr>
            <w:tcW w:w="1178" w:type="pct"/>
          </w:tcPr>
          <w:p w14:paraId="7CC47635" w14:textId="77777777" w:rsidR="002F3A18" w:rsidRPr="004B49DC" w:rsidRDefault="002F3A18" w:rsidP="002F3A18">
            <w:pPr>
              <w:rPr>
                <w:rFonts w:ascii="Cambria" w:eastAsia="Times New Roman" w:hAnsi="Cambria" w:cs="Calibri"/>
                <w:color w:val="000000"/>
              </w:rPr>
            </w:pPr>
          </w:p>
        </w:tc>
      </w:tr>
    </w:tbl>
    <w:p w14:paraId="16E4A404" w14:textId="77777777" w:rsidR="002F3A18" w:rsidRPr="004B49DC" w:rsidRDefault="002F3A18" w:rsidP="002F3A18">
      <w:pPr>
        <w:spacing w:after="0" w:line="240" w:lineRule="auto"/>
        <w:rPr>
          <w:rFonts w:ascii="Cambria" w:eastAsia="MS Mincho" w:hAnsi="Cambria" w:cs="Times New Roman"/>
          <w:color w:val="000000"/>
          <w:sz w:val="24"/>
          <w:szCs w:val="24"/>
        </w:rPr>
      </w:pPr>
    </w:p>
    <w:p w14:paraId="5C74E3DA" w14:textId="0027F01E" w:rsidR="002948AC" w:rsidRDefault="002948AC">
      <w:pPr>
        <w:rPr>
          <w:rFonts w:ascii="Cambria" w:eastAsia="MS Mincho" w:hAnsi="Cambria" w:cs="Times New Roman"/>
          <w:color w:val="000000"/>
          <w:sz w:val="24"/>
          <w:szCs w:val="24"/>
        </w:rPr>
      </w:pPr>
    </w:p>
    <w:sectPr w:rsidR="002948AC" w:rsidSect="004B4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086D"/>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F80358"/>
    <w:multiLevelType w:val="hybridMultilevel"/>
    <w:tmpl w:val="0022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E01B1"/>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35CB9"/>
    <w:multiLevelType w:val="multilevel"/>
    <w:tmpl w:val="D4CC2D5C"/>
    <w:lvl w:ilvl="0">
      <w:numFmt w:val="bullet"/>
      <w:lvlText w:val="•"/>
      <w:lvlJc w:val="left"/>
      <w:pPr>
        <w:ind w:left="720" w:hanging="360"/>
      </w:pPr>
      <w:rPr>
        <w:rFonts w:ascii="Times New Roman" w:eastAsia="Times New Roman" w:hAnsi="Times New Roman" w:cs="Times New Roman" w:hint="default"/>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03304A3"/>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2355B3"/>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2A1322"/>
    <w:multiLevelType w:val="multilevel"/>
    <w:tmpl w:val="4F5040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18"/>
    <w:rsid w:val="0024268B"/>
    <w:rsid w:val="002948AC"/>
    <w:rsid w:val="002F3A18"/>
    <w:rsid w:val="00404EB7"/>
    <w:rsid w:val="00454368"/>
    <w:rsid w:val="004B49DC"/>
    <w:rsid w:val="004D4E91"/>
    <w:rsid w:val="008138DC"/>
    <w:rsid w:val="00C64A6B"/>
    <w:rsid w:val="00D37339"/>
    <w:rsid w:val="00F348FC"/>
    <w:rsid w:val="15741E54"/>
    <w:rsid w:val="1845F5D8"/>
    <w:rsid w:val="1A72AF57"/>
    <w:rsid w:val="29D92F78"/>
    <w:rsid w:val="525E7A89"/>
    <w:rsid w:val="554FF764"/>
    <w:rsid w:val="5662B1AC"/>
    <w:rsid w:val="5BED4B9A"/>
    <w:rsid w:val="67349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3C31"/>
  <w15:chartTrackingRefBased/>
  <w15:docId w15:val="{EA0891E1-090C-4E14-AC73-340CFA76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A18"/>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BB51A-999B-4AF4-AE12-225560A372EB}">
  <ds:schemaRefs>
    <ds:schemaRef ds:uri="http://schemas.microsoft.com/sharepoint/v3/contenttype/forms"/>
  </ds:schemaRefs>
</ds:datastoreItem>
</file>

<file path=customXml/itemProps2.xml><?xml version="1.0" encoding="utf-8"?>
<ds:datastoreItem xmlns:ds="http://schemas.openxmlformats.org/officeDocument/2006/customXml" ds:itemID="{E6C1E272-56A9-47A5-8EB2-65800D98889F}">
  <ds:schemaRefs>
    <ds:schemaRef ds:uri="http://purl.org/dc/elements/1.1/"/>
    <ds:schemaRef ds:uri="http://schemas.microsoft.com/office/2006/metadata/properties"/>
    <ds:schemaRef ds:uri="http://schemas.microsoft.com/office/2006/documentManagement/types"/>
    <ds:schemaRef ds:uri="2004f0f5-2dea-4dde-825c-959a2f214ee4"/>
    <ds:schemaRef ds:uri="http://purl.org/dc/terms/"/>
    <ds:schemaRef ds:uri="http://schemas.openxmlformats.org/package/2006/metadata/core-properties"/>
    <ds:schemaRef ds:uri="http://purl.org/dc/dcmitype/"/>
    <ds:schemaRef ds:uri="http://schemas.microsoft.com/office/infopath/2007/PartnerControls"/>
    <ds:schemaRef ds:uri="c93d5b51-04e0-4523-9810-e72ad1e8acb2"/>
    <ds:schemaRef ds:uri="http://www.w3.org/XML/1998/namespace"/>
  </ds:schemaRefs>
</ds:datastoreItem>
</file>

<file path=customXml/itemProps3.xml><?xml version="1.0" encoding="utf-8"?>
<ds:datastoreItem xmlns:ds="http://schemas.openxmlformats.org/officeDocument/2006/customXml" ds:itemID="{0293F8B9-F042-4CDF-94B1-7E7FBABC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2023-01-13T16:01:00Z</dcterms:created>
  <dcterms:modified xsi:type="dcterms:W3CDTF">2023-01-13T16:01:00Z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