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955C" w14:textId="77777777" w:rsidR="0035384C" w:rsidRPr="004F76B4" w:rsidRDefault="0035384C" w:rsidP="0035384C">
      <w:pPr>
        <w:spacing w:after="0" w:line="240" w:lineRule="auto"/>
        <w:jc w:val="center"/>
        <w:rPr>
          <w:rFonts w:ascii="Cambria" w:eastAsia="MS Mincho" w:hAnsi="Cambria" w:cs="Calibri"/>
          <w:b/>
          <w:bCs/>
          <w:color w:val="000000"/>
          <w:sz w:val="24"/>
          <w:szCs w:val="24"/>
        </w:rPr>
      </w:pPr>
      <w:bookmarkStart w:id="0" w:name="_GoBack"/>
      <w:bookmarkEnd w:id="0"/>
      <w:r w:rsidRPr="004F76B4">
        <w:rPr>
          <w:rFonts w:ascii="Cambria" w:eastAsia="MS Mincho" w:hAnsi="Cambria" w:cs="Calibri"/>
          <w:b/>
          <w:bCs/>
          <w:noProof/>
          <w:color w:val="000000"/>
          <w:sz w:val="24"/>
          <w:szCs w:val="24"/>
        </w:rPr>
        <w:drawing>
          <wp:inline distT="0" distB="0" distL="0" distR="0" wp14:anchorId="6D72632A" wp14:editId="585339D8">
            <wp:extent cx="1417320" cy="850392"/>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png"/>
                    <pic:cNvPicPr/>
                  </pic:nvPicPr>
                  <pic:blipFill>
                    <a:blip r:embed="rId8"/>
                    <a:stretch>
                      <a:fillRect/>
                    </a:stretch>
                  </pic:blipFill>
                  <pic:spPr>
                    <a:xfrm>
                      <a:off x="0" y="0"/>
                      <a:ext cx="1417320" cy="850392"/>
                    </a:xfrm>
                    <a:prstGeom prst="rect">
                      <a:avLst/>
                    </a:prstGeom>
                  </pic:spPr>
                </pic:pic>
              </a:graphicData>
            </a:graphic>
          </wp:inline>
        </w:drawing>
      </w:r>
    </w:p>
    <w:p w14:paraId="13E0BABF" w14:textId="77777777" w:rsidR="0035384C" w:rsidRPr="004F76B4" w:rsidRDefault="0035384C" w:rsidP="0035384C">
      <w:pPr>
        <w:spacing w:after="0" w:line="240" w:lineRule="auto"/>
        <w:rPr>
          <w:rFonts w:ascii="Cambria" w:eastAsia="MS Mincho" w:hAnsi="Cambria" w:cs="Calibri"/>
          <w:b/>
          <w:bCs/>
          <w:color w:val="000000"/>
          <w:sz w:val="24"/>
          <w:szCs w:val="24"/>
        </w:rPr>
      </w:pPr>
      <w:r w:rsidRPr="004F76B4">
        <w:rPr>
          <w:rFonts w:ascii="Cambria" w:eastAsia="MS Mincho" w:hAnsi="Cambria" w:cs="Calibri"/>
          <w:b/>
          <w:bCs/>
          <w:color w:val="000000"/>
          <w:sz w:val="24"/>
          <w:szCs w:val="24"/>
        </w:rPr>
        <w:br/>
        <w:t>GC1: Global Citizenship/Global Systems and Problems</w:t>
      </w:r>
    </w:p>
    <w:p w14:paraId="2F690070" w14:textId="5CCC92F5" w:rsidR="0035384C" w:rsidRPr="004F76B4" w:rsidRDefault="0035384C" w:rsidP="0035384C">
      <w:pPr>
        <w:spacing w:after="0" w:line="240" w:lineRule="auto"/>
        <w:rPr>
          <w:rFonts w:ascii="Cambria" w:eastAsia="MS Mincho" w:hAnsi="Cambria" w:cs="Calibri"/>
          <w:b/>
          <w:bCs/>
          <w:color w:val="000000"/>
          <w:sz w:val="24"/>
          <w:szCs w:val="24"/>
        </w:rPr>
      </w:pPr>
      <w:r w:rsidRPr="004F76B4">
        <w:rPr>
          <w:rFonts w:ascii="Cambria" w:eastAsia="MS Mincho" w:hAnsi="Cambria" w:cs="Calibri"/>
          <w:b/>
          <w:bCs/>
          <w:color w:val="000000"/>
          <w:sz w:val="24"/>
          <w:szCs w:val="24"/>
        </w:rPr>
        <w:t>Catamount Core Approval Supplemental Information Form</w:t>
      </w:r>
    </w:p>
    <w:p w14:paraId="6A42945D" w14:textId="77777777" w:rsidR="0035384C" w:rsidRPr="004F76B4" w:rsidRDefault="0035384C" w:rsidP="0035384C">
      <w:pPr>
        <w:spacing w:after="0" w:line="240" w:lineRule="auto"/>
        <w:rPr>
          <w:rFonts w:ascii="Cambria" w:eastAsia="MS Mincho" w:hAnsi="Cambria" w:cs="Calibri"/>
          <w:color w:val="000000"/>
          <w:sz w:val="24"/>
          <w:szCs w:val="24"/>
        </w:rPr>
      </w:pPr>
    </w:p>
    <w:p w14:paraId="6B46CC51" w14:textId="77777777" w:rsidR="00954B4F" w:rsidRDefault="0035384C" w:rsidP="00954B4F">
      <w:p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u w:val="single"/>
        </w:rPr>
        <w:t>Purpose and Intent</w:t>
      </w:r>
      <w:r w:rsidRPr="004F76B4">
        <w:rPr>
          <w:rFonts w:ascii="Cambria" w:eastAsia="MS Mincho" w:hAnsi="Cambria" w:cs="Calibri"/>
          <w:color w:val="000000"/>
          <w:sz w:val="24"/>
          <w:szCs w:val="24"/>
        </w:rPr>
        <w:t xml:space="preserve">: To provide supplemental information relevant to the review of proposed courses for designation as GC1 and inclusion in UVM’s Catamount Core curriculum. </w:t>
      </w:r>
      <w:bookmarkStart w:id="1" w:name="_Hlk81299312"/>
    </w:p>
    <w:p w14:paraId="5D5DE6B1" w14:textId="77777777" w:rsidR="00954B4F" w:rsidRDefault="00954B4F" w:rsidP="00954B4F">
      <w:pPr>
        <w:spacing w:after="0" w:line="240" w:lineRule="auto"/>
        <w:rPr>
          <w:rFonts w:ascii="Cambria" w:eastAsia="MS Mincho" w:hAnsi="Cambria" w:cs="Calibri"/>
          <w:color w:val="000000"/>
          <w:sz w:val="24"/>
          <w:szCs w:val="24"/>
        </w:rPr>
      </w:pPr>
    </w:p>
    <w:p w14:paraId="16972FC0" w14:textId="161922EF" w:rsidR="00954B4F" w:rsidRPr="00954B4F" w:rsidRDefault="00954B4F" w:rsidP="00954B4F">
      <w:pPr>
        <w:spacing w:after="0" w:line="240" w:lineRule="auto"/>
        <w:rPr>
          <w:rFonts w:ascii="Cambria" w:eastAsia="MS Mincho" w:hAnsi="Cambria" w:cs="Calibri"/>
          <w:color w:val="000000"/>
          <w:sz w:val="24"/>
          <w:szCs w:val="24"/>
        </w:rPr>
      </w:pPr>
      <w:r>
        <w:rPr>
          <w:rFonts w:ascii="Cambria" w:eastAsia="MS Mincho" w:hAnsi="Cambria" w:cs="Calibri"/>
          <w:color w:val="000000"/>
          <w:sz w:val="24"/>
          <w:szCs w:val="24"/>
        </w:rPr>
        <w:t>The Submission Process and Approval Criteria, as well as the Rubric that the Catamount Core Curriculum Committee will use to review this proposal, can be found on the following pages of this document.</w:t>
      </w:r>
    </w:p>
    <w:bookmarkEnd w:id="1"/>
    <w:p w14:paraId="71E0A688" w14:textId="350693FF" w:rsidR="0035384C" w:rsidRDefault="0035384C" w:rsidP="0035384C">
      <w:pPr>
        <w:spacing w:after="0" w:line="240" w:lineRule="auto"/>
        <w:rPr>
          <w:rFonts w:ascii="Cambria" w:eastAsia="MS Mincho" w:hAnsi="Cambria" w:cs="Calibri"/>
          <w:color w:val="000000"/>
          <w:sz w:val="24"/>
          <w:szCs w:val="24"/>
        </w:rPr>
      </w:pPr>
    </w:p>
    <w:tbl>
      <w:tblPr>
        <w:tblStyle w:val="TableGrid"/>
        <w:tblpPr w:leftFromText="180" w:rightFromText="180" w:vertAnchor="text" w:horzAnchor="margin" w:tblpY="140"/>
        <w:tblW w:w="0" w:type="auto"/>
        <w:tblLook w:val="04A0" w:firstRow="1" w:lastRow="0" w:firstColumn="1" w:lastColumn="0" w:noHBand="0" w:noVBand="1"/>
      </w:tblPr>
      <w:tblGrid>
        <w:gridCol w:w="10790"/>
      </w:tblGrid>
      <w:tr w:rsidR="00954B4F" w14:paraId="43F80519" w14:textId="77777777" w:rsidTr="007241F2">
        <w:tc>
          <w:tcPr>
            <w:tcW w:w="10790" w:type="dxa"/>
            <w:vAlign w:val="center"/>
          </w:tcPr>
          <w:p w14:paraId="74CBA174" w14:textId="77777777" w:rsidR="00954B4F" w:rsidRPr="00633D81" w:rsidRDefault="00954B4F" w:rsidP="007241F2">
            <w:pPr>
              <w:jc w:val="center"/>
              <w:rPr>
                <w:rFonts w:ascii="Cambria" w:hAnsi="Cambria" w:cs="Segoe UI"/>
              </w:rPr>
            </w:pPr>
          </w:p>
          <w:p w14:paraId="42FDCD6F" w14:textId="77777777" w:rsidR="00954B4F" w:rsidRPr="00633D81" w:rsidRDefault="00954B4F" w:rsidP="007241F2">
            <w:pPr>
              <w:jc w:val="center"/>
              <w:rPr>
                <w:rFonts w:ascii="Cambria" w:hAnsi="Cambria" w:cs="Segoe UI"/>
              </w:rPr>
            </w:pPr>
            <w:r w:rsidRPr="00633D81">
              <w:rPr>
                <w:rFonts w:ascii="Cambria" w:hAnsi="Cambria" w:cs="Segoe UI"/>
              </w:rPr>
              <w:t>With a well-developed syllabus, this form should take approximately 15-20 minutes to complete.</w:t>
            </w:r>
          </w:p>
          <w:p w14:paraId="1DBF038D" w14:textId="77777777" w:rsidR="00954B4F" w:rsidRPr="00633D81" w:rsidRDefault="00954B4F" w:rsidP="007241F2">
            <w:pPr>
              <w:jc w:val="center"/>
              <w:rPr>
                <w:rFonts w:ascii="Cambria" w:hAnsi="Cambria" w:cs="Segoe UI"/>
              </w:rPr>
            </w:pPr>
          </w:p>
        </w:tc>
      </w:tr>
    </w:tbl>
    <w:p w14:paraId="0CE84417" w14:textId="77777777" w:rsidR="00954B4F" w:rsidRPr="004F76B4" w:rsidRDefault="00954B4F" w:rsidP="004F76B4">
      <w:pPr>
        <w:pBdr>
          <w:bottom w:val="single" w:sz="6" w:space="1" w:color="auto"/>
        </w:pBdr>
        <w:spacing w:after="0" w:line="240" w:lineRule="auto"/>
        <w:rPr>
          <w:rFonts w:ascii="Cambria" w:eastAsia="MS Mincho" w:hAnsi="Cambria" w:cs="Calibri"/>
          <w:color w:val="000000"/>
          <w:sz w:val="24"/>
          <w:szCs w:val="24"/>
        </w:rPr>
      </w:pPr>
    </w:p>
    <w:p w14:paraId="15CBBE04" w14:textId="77777777" w:rsidR="004F76B4" w:rsidRPr="004F76B4" w:rsidRDefault="004F76B4" w:rsidP="004F76B4">
      <w:pPr>
        <w:spacing w:after="0" w:line="240" w:lineRule="auto"/>
        <w:rPr>
          <w:rFonts w:ascii="Cambria" w:eastAsia="MS Mincho" w:hAnsi="Cambria" w:cs="Calibri"/>
          <w:bCs/>
          <w:color w:val="000000"/>
          <w:sz w:val="24"/>
          <w:szCs w:val="24"/>
        </w:rPr>
      </w:pPr>
    </w:p>
    <w:p w14:paraId="5261A9EA" w14:textId="77777777" w:rsidR="0035384C" w:rsidRPr="004F76B4" w:rsidRDefault="0035384C" w:rsidP="0035384C">
      <w:p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To assist students in understanding how courses in each Catamount Core category contribute to UVM’s general education program, please include the following language in a prominent location in your syllabus (e.g. after the course description):</w:t>
      </w:r>
    </w:p>
    <w:p w14:paraId="07C04F40" w14:textId="77777777" w:rsidR="0035384C" w:rsidRPr="004F76B4" w:rsidRDefault="0035384C" w:rsidP="0035384C">
      <w:pPr>
        <w:spacing w:after="0" w:line="240" w:lineRule="auto"/>
        <w:rPr>
          <w:rFonts w:ascii="Cambria" w:eastAsia="MS Mincho" w:hAnsi="Cambria" w:cs="Calibri"/>
          <w:color w:val="000000"/>
          <w:sz w:val="24"/>
          <w:szCs w:val="24"/>
        </w:rPr>
      </w:pPr>
    </w:p>
    <w:p w14:paraId="77AD0A89" w14:textId="77777777" w:rsidR="0035384C" w:rsidRPr="004F76B4" w:rsidRDefault="0035384C" w:rsidP="0035384C">
      <w:pPr>
        <w:spacing w:after="0" w:line="240" w:lineRule="auto"/>
        <w:rPr>
          <w:rFonts w:ascii="Cambria" w:eastAsia="MS Mincho" w:hAnsi="Cambria" w:cs="Calibri"/>
          <w:b/>
          <w:bCs/>
          <w:color w:val="000000"/>
          <w:sz w:val="24"/>
          <w:szCs w:val="24"/>
        </w:rPr>
      </w:pPr>
      <w:r w:rsidRPr="004F76B4">
        <w:rPr>
          <w:rFonts w:ascii="Cambria" w:eastAsia="MS Mincho" w:hAnsi="Cambria" w:cs="Calibri"/>
          <w:b/>
          <w:bCs/>
          <w:color w:val="000000"/>
          <w:sz w:val="24"/>
          <w:szCs w:val="24"/>
        </w:rPr>
        <w:t>GC1: Global Systems and Problems</w:t>
      </w:r>
    </w:p>
    <w:p w14:paraId="447A2421" w14:textId="77777777" w:rsidR="0035384C" w:rsidRPr="004F76B4" w:rsidRDefault="0035384C" w:rsidP="004F76B4">
      <w:pPr>
        <w:widowControl w:val="0"/>
        <w:autoSpaceDE w:val="0"/>
        <w:autoSpaceDN w:val="0"/>
        <w:spacing w:after="0" w:line="240" w:lineRule="auto"/>
        <w:ind w:right="101"/>
        <w:rPr>
          <w:rFonts w:ascii="Cambria" w:eastAsia="Calibri" w:hAnsi="Cambria" w:cs="Calibri"/>
          <w:i/>
          <w:iCs/>
          <w:sz w:val="24"/>
          <w:szCs w:val="24"/>
        </w:rPr>
      </w:pPr>
      <w:r w:rsidRPr="004F76B4">
        <w:rPr>
          <w:rFonts w:ascii="Cambria" w:eastAsia="Calibri" w:hAnsi="Cambria" w:cs="Calibri"/>
          <w:sz w:val="24"/>
          <w:szCs w:val="24"/>
        </w:rPr>
        <w:t xml:space="preserve">GC1 courses address systems and problems that are global in scope. These courses will help students understand the nature and complexity of global phenomena. They may address cultural, political, economic, ecological, artistic, technological, human health, or other aspects of our increasingly interdependent world. They explore both the unique problems and the opportunities created by such interdependence and interconnectedness. </w:t>
      </w:r>
    </w:p>
    <w:p w14:paraId="6BF2516B" w14:textId="77777777" w:rsidR="004F76B4" w:rsidRPr="004F76B4" w:rsidRDefault="004F76B4" w:rsidP="0035384C">
      <w:pPr>
        <w:pBdr>
          <w:bottom w:val="single" w:sz="6" w:space="1" w:color="auto"/>
        </w:pBdr>
        <w:spacing w:after="0" w:line="240" w:lineRule="auto"/>
        <w:rPr>
          <w:rFonts w:ascii="Cambria" w:eastAsia="MS Mincho" w:hAnsi="Cambria" w:cs="Calibri"/>
          <w:color w:val="000000"/>
          <w:sz w:val="24"/>
          <w:szCs w:val="24"/>
        </w:rPr>
      </w:pPr>
    </w:p>
    <w:p w14:paraId="3FD98FCE" w14:textId="74772C7F" w:rsidR="004F76B4" w:rsidRDefault="004F76B4" w:rsidP="0035384C">
      <w:pPr>
        <w:spacing w:after="0" w:line="240" w:lineRule="auto"/>
        <w:rPr>
          <w:rFonts w:ascii="Cambria" w:eastAsia="MS Mincho" w:hAnsi="Cambria" w:cs="Calibri"/>
          <w:bCs/>
          <w:color w:val="000000"/>
          <w:sz w:val="24"/>
          <w:szCs w:val="24"/>
        </w:rPr>
      </w:pPr>
    </w:p>
    <w:p w14:paraId="5BA8076F" w14:textId="77777777" w:rsidR="00954B4F" w:rsidRPr="00836004" w:rsidRDefault="00954B4F" w:rsidP="00954B4F">
      <w:pPr>
        <w:jc w:val="center"/>
        <w:rPr>
          <w:rFonts w:ascii="Cambria" w:eastAsia="MS Mincho" w:hAnsi="Cambria" w:cs="Calibri"/>
          <w:b/>
          <w:color w:val="000000"/>
          <w:sz w:val="24"/>
          <w:szCs w:val="24"/>
        </w:rPr>
      </w:pPr>
      <w:r w:rsidRPr="00836004">
        <w:rPr>
          <w:rFonts w:ascii="Cambria" w:eastAsia="MS Mincho" w:hAnsi="Cambria" w:cs="Calibri"/>
          <w:b/>
          <w:color w:val="000000"/>
          <w:sz w:val="28"/>
          <w:szCs w:val="24"/>
        </w:rPr>
        <w:t>Course Information</w:t>
      </w:r>
    </w:p>
    <w:tbl>
      <w:tblPr>
        <w:tblStyle w:val="TableGrid"/>
        <w:tblW w:w="0" w:type="auto"/>
        <w:tblLook w:val="04A0" w:firstRow="1" w:lastRow="0" w:firstColumn="1" w:lastColumn="0" w:noHBand="0" w:noVBand="1"/>
      </w:tblPr>
      <w:tblGrid>
        <w:gridCol w:w="3325"/>
        <w:gridCol w:w="7465"/>
      </w:tblGrid>
      <w:tr w:rsidR="00954B4F" w14:paraId="45CD19D5" w14:textId="77777777" w:rsidTr="007241F2">
        <w:tc>
          <w:tcPr>
            <w:tcW w:w="3325" w:type="dxa"/>
          </w:tcPr>
          <w:p w14:paraId="58321DCA" w14:textId="77777777" w:rsidR="00954B4F" w:rsidRPr="00633D81" w:rsidRDefault="00954B4F" w:rsidP="007241F2">
            <w:pPr>
              <w:jc w:val="right"/>
              <w:rPr>
                <w:rFonts w:ascii="Cambria" w:hAnsi="Cambria" w:cs="Segoe UI"/>
                <w:b/>
              </w:rPr>
            </w:pPr>
            <w:r w:rsidRPr="00633D81">
              <w:rPr>
                <w:rFonts w:ascii="Cambria" w:hAnsi="Cambria" w:cs="Segoe UI"/>
                <w:b/>
              </w:rPr>
              <w:t>Course Number:</w:t>
            </w:r>
          </w:p>
        </w:tc>
        <w:tc>
          <w:tcPr>
            <w:tcW w:w="7465" w:type="dxa"/>
          </w:tcPr>
          <w:p w14:paraId="15ADC0E0" w14:textId="77777777" w:rsidR="00954B4F" w:rsidRPr="00633D81" w:rsidRDefault="00954B4F" w:rsidP="007241F2">
            <w:pPr>
              <w:rPr>
                <w:rFonts w:ascii="Cambria" w:hAnsi="Cambria" w:cs="Segoe UI"/>
              </w:rPr>
            </w:pPr>
          </w:p>
        </w:tc>
      </w:tr>
      <w:tr w:rsidR="00954B4F" w14:paraId="321E5CA2" w14:textId="77777777" w:rsidTr="007241F2">
        <w:tc>
          <w:tcPr>
            <w:tcW w:w="3325" w:type="dxa"/>
          </w:tcPr>
          <w:p w14:paraId="6864CCA7" w14:textId="77777777" w:rsidR="00954B4F" w:rsidRPr="00633D81" w:rsidRDefault="00954B4F" w:rsidP="007241F2">
            <w:pPr>
              <w:jc w:val="right"/>
              <w:rPr>
                <w:rFonts w:ascii="Cambria" w:hAnsi="Cambria" w:cs="Segoe UI"/>
                <w:b/>
              </w:rPr>
            </w:pPr>
            <w:r w:rsidRPr="00633D81">
              <w:rPr>
                <w:rFonts w:ascii="Cambria" w:hAnsi="Cambria" w:cs="Segoe UI"/>
                <w:b/>
              </w:rPr>
              <w:t>Course Title:</w:t>
            </w:r>
          </w:p>
        </w:tc>
        <w:tc>
          <w:tcPr>
            <w:tcW w:w="7465" w:type="dxa"/>
          </w:tcPr>
          <w:p w14:paraId="7E0C1F6C" w14:textId="77777777" w:rsidR="00954B4F" w:rsidRPr="00633D81" w:rsidRDefault="00954B4F" w:rsidP="007241F2">
            <w:pPr>
              <w:rPr>
                <w:rFonts w:ascii="Cambria" w:hAnsi="Cambria" w:cs="Segoe UI"/>
              </w:rPr>
            </w:pPr>
          </w:p>
        </w:tc>
      </w:tr>
      <w:tr w:rsidR="00954B4F" w14:paraId="6CBDCCC8" w14:textId="77777777" w:rsidTr="007241F2">
        <w:tc>
          <w:tcPr>
            <w:tcW w:w="3325" w:type="dxa"/>
          </w:tcPr>
          <w:p w14:paraId="51D489FE" w14:textId="77777777" w:rsidR="00954B4F" w:rsidRPr="00633D81" w:rsidRDefault="00954B4F" w:rsidP="007241F2">
            <w:pPr>
              <w:jc w:val="right"/>
              <w:rPr>
                <w:rFonts w:ascii="Cambria" w:hAnsi="Cambria" w:cs="Segoe UI"/>
                <w:b/>
              </w:rPr>
            </w:pPr>
            <w:r w:rsidRPr="00633D81">
              <w:rPr>
                <w:rFonts w:ascii="Cambria" w:hAnsi="Cambria" w:cs="Segoe UI"/>
                <w:b/>
              </w:rPr>
              <w:t>Name of Faculty Member:</w:t>
            </w:r>
          </w:p>
        </w:tc>
        <w:tc>
          <w:tcPr>
            <w:tcW w:w="7465" w:type="dxa"/>
          </w:tcPr>
          <w:p w14:paraId="61BEB8A0" w14:textId="77777777" w:rsidR="00954B4F" w:rsidRPr="00633D81" w:rsidRDefault="00954B4F" w:rsidP="007241F2">
            <w:pPr>
              <w:rPr>
                <w:rFonts w:ascii="Cambria" w:hAnsi="Cambria" w:cs="Segoe UI"/>
              </w:rPr>
            </w:pPr>
          </w:p>
        </w:tc>
      </w:tr>
      <w:tr w:rsidR="00954B4F" w14:paraId="1960C83D" w14:textId="77777777" w:rsidTr="007241F2">
        <w:tc>
          <w:tcPr>
            <w:tcW w:w="3325" w:type="dxa"/>
          </w:tcPr>
          <w:p w14:paraId="4865FBC2" w14:textId="77777777" w:rsidR="00954B4F" w:rsidRPr="00633D81" w:rsidRDefault="00954B4F" w:rsidP="007241F2">
            <w:pPr>
              <w:jc w:val="right"/>
              <w:rPr>
                <w:rFonts w:ascii="Cambria" w:hAnsi="Cambria" w:cs="Segoe UI"/>
                <w:b/>
              </w:rPr>
            </w:pPr>
            <w:r w:rsidRPr="00633D81">
              <w:rPr>
                <w:rFonts w:ascii="Cambria" w:hAnsi="Cambria" w:cs="Segoe UI"/>
                <w:b/>
              </w:rPr>
              <w:t>Email Address:</w:t>
            </w:r>
          </w:p>
        </w:tc>
        <w:tc>
          <w:tcPr>
            <w:tcW w:w="7465" w:type="dxa"/>
          </w:tcPr>
          <w:p w14:paraId="0B7818EC" w14:textId="77777777" w:rsidR="00954B4F" w:rsidRPr="00633D81" w:rsidRDefault="00954B4F" w:rsidP="007241F2">
            <w:pPr>
              <w:rPr>
                <w:rFonts w:ascii="Cambria" w:hAnsi="Cambria" w:cs="Segoe UI"/>
              </w:rPr>
            </w:pPr>
          </w:p>
        </w:tc>
      </w:tr>
    </w:tbl>
    <w:p w14:paraId="30EE8FF9" w14:textId="77777777" w:rsidR="00954B4F" w:rsidRDefault="00954B4F" w:rsidP="00954B4F"/>
    <w:tbl>
      <w:tblPr>
        <w:tblStyle w:val="TableGrid"/>
        <w:tblW w:w="0" w:type="auto"/>
        <w:tblLook w:val="04A0" w:firstRow="1" w:lastRow="0" w:firstColumn="1" w:lastColumn="0" w:noHBand="0" w:noVBand="1"/>
      </w:tblPr>
      <w:tblGrid>
        <w:gridCol w:w="5665"/>
        <w:gridCol w:w="5125"/>
      </w:tblGrid>
      <w:tr w:rsidR="00954B4F" w14:paraId="44E25DFD" w14:textId="77777777" w:rsidTr="007241F2">
        <w:tc>
          <w:tcPr>
            <w:tcW w:w="5665" w:type="dxa"/>
          </w:tcPr>
          <w:p w14:paraId="4B1605B1" w14:textId="77777777" w:rsidR="00954B4F" w:rsidRPr="00633D81" w:rsidRDefault="00954B4F" w:rsidP="007241F2">
            <w:pPr>
              <w:jc w:val="right"/>
              <w:rPr>
                <w:rFonts w:ascii="Cambria" w:hAnsi="Cambria" w:cs="Segoe UI"/>
                <w:b/>
              </w:rPr>
            </w:pPr>
            <w:r w:rsidRPr="00633D81">
              <w:rPr>
                <w:rFonts w:ascii="Cambria" w:hAnsi="Cambria" w:cs="Segoe UI"/>
                <w:b/>
              </w:rPr>
              <w:t xml:space="preserve">Please indicate if this course presently meets </w:t>
            </w:r>
            <w:r>
              <w:rPr>
                <w:rFonts w:ascii="Cambria" w:hAnsi="Cambria" w:cs="Segoe UI"/>
                <w:b/>
              </w:rPr>
              <w:t>any</w:t>
            </w:r>
            <w:r w:rsidRPr="00633D81">
              <w:rPr>
                <w:rFonts w:ascii="Cambria" w:hAnsi="Cambria" w:cs="Segoe UI"/>
                <w:b/>
              </w:rPr>
              <w:t xml:space="preserve"> of the </w:t>
            </w:r>
            <w:r>
              <w:rPr>
                <w:rFonts w:ascii="Cambria" w:hAnsi="Cambria" w:cs="Segoe UI"/>
                <w:b/>
              </w:rPr>
              <w:t>current</w:t>
            </w:r>
            <w:r w:rsidRPr="00633D81">
              <w:rPr>
                <w:rFonts w:ascii="Cambria" w:hAnsi="Cambria" w:cs="Segoe UI"/>
                <w:b/>
              </w:rPr>
              <w:t xml:space="preserve"> General Education requirements</w:t>
            </w:r>
            <w:r>
              <w:rPr>
                <w:rFonts w:ascii="Cambria" w:hAnsi="Cambria" w:cs="Segoe UI"/>
                <w:b/>
              </w:rPr>
              <w:t xml:space="preserve"> listed here (check all that apply):</w:t>
            </w:r>
          </w:p>
        </w:tc>
        <w:tc>
          <w:tcPr>
            <w:tcW w:w="5125" w:type="dxa"/>
            <w:vAlign w:val="center"/>
          </w:tcPr>
          <w:p w14:paraId="26E54705" w14:textId="77777777" w:rsidR="00954B4F" w:rsidRPr="00633D81" w:rsidRDefault="00954B4F" w:rsidP="007241F2">
            <w:pPr>
              <w:jc w:val="center"/>
              <w:rPr>
                <w:rFonts w:ascii="Cambria" w:hAnsi="Cambria" w:cs="Segoe UI"/>
              </w:rPr>
            </w:pPr>
            <w:r w:rsidRPr="00633D81">
              <w:rPr>
                <w:rFonts w:ascii="Cambria" w:hAnsi="Cambria" w:cs="Segoe UI"/>
              </w:rPr>
              <w:t>____D1    ____D2    ____FWIL    ____QR</w:t>
            </w:r>
            <w:r>
              <w:rPr>
                <w:rFonts w:ascii="Cambria" w:hAnsi="Cambria" w:cs="Segoe UI"/>
              </w:rPr>
              <w:t xml:space="preserve">    ____SU</w:t>
            </w:r>
          </w:p>
        </w:tc>
      </w:tr>
    </w:tbl>
    <w:p w14:paraId="3B3C7E37" w14:textId="493E43DD" w:rsidR="00954B4F" w:rsidRPr="001B2513" w:rsidRDefault="00954B4F" w:rsidP="00954B4F">
      <w:pPr>
        <w:jc w:val="right"/>
        <w:rPr>
          <w:rFonts w:ascii="Segoe UI" w:hAnsi="Segoe UI" w:cs="Segoe UI"/>
          <w:sz w:val="16"/>
          <w:szCs w:val="16"/>
        </w:rPr>
      </w:pPr>
      <w:r>
        <w:br/>
      </w:r>
      <w:r w:rsidRPr="0E24BA39">
        <w:rPr>
          <w:rFonts w:ascii="Segoe UI" w:hAnsi="Segoe UI" w:cs="Segoe UI"/>
          <w:sz w:val="16"/>
          <w:szCs w:val="16"/>
        </w:rPr>
        <w:t xml:space="preserve">[v. </w:t>
      </w:r>
      <w:r w:rsidR="6E957BAD" w:rsidRPr="0E24BA39">
        <w:rPr>
          <w:rFonts w:ascii="Segoe UI" w:hAnsi="Segoe UI" w:cs="Segoe UI"/>
          <w:sz w:val="16"/>
          <w:szCs w:val="16"/>
        </w:rPr>
        <w:t>2.0</w:t>
      </w:r>
      <w:r w:rsidRPr="0E24BA39">
        <w:rPr>
          <w:rFonts w:ascii="Segoe UI" w:hAnsi="Segoe UI" w:cs="Segoe UI"/>
          <w:sz w:val="16"/>
          <w:szCs w:val="16"/>
        </w:rPr>
        <w:t xml:space="preserve">, </w:t>
      </w:r>
      <w:r w:rsidR="7A255F88" w:rsidRPr="0E24BA39">
        <w:rPr>
          <w:rFonts w:ascii="Segoe UI" w:hAnsi="Segoe UI" w:cs="Segoe UI"/>
          <w:sz w:val="16"/>
          <w:szCs w:val="16"/>
        </w:rPr>
        <w:t>01</w:t>
      </w:r>
      <w:r w:rsidRPr="0E24BA39">
        <w:rPr>
          <w:rFonts w:ascii="Segoe UI" w:hAnsi="Segoe UI" w:cs="Segoe UI"/>
          <w:sz w:val="16"/>
          <w:szCs w:val="16"/>
        </w:rPr>
        <w:t>/202</w:t>
      </w:r>
      <w:r w:rsidR="0DFBB40F" w:rsidRPr="0E24BA39">
        <w:rPr>
          <w:rFonts w:ascii="Segoe UI" w:hAnsi="Segoe UI" w:cs="Segoe UI"/>
          <w:sz w:val="16"/>
          <w:szCs w:val="16"/>
        </w:rPr>
        <w:t>3</w:t>
      </w:r>
      <w:r w:rsidRPr="0E24BA39">
        <w:rPr>
          <w:rFonts w:ascii="Segoe UI" w:hAnsi="Segoe UI" w:cs="Segoe UI"/>
          <w:sz w:val="16"/>
          <w:szCs w:val="16"/>
        </w:rPr>
        <w:t>]</w:t>
      </w:r>
    </w:p>
    <w:p w14:paraId="66AD8B7E" w14:textId="77777777" w:rsidR="004F76B4" w:rsidRDefault="004F76B4" w:rsidP="004F76B4">
      <w:pPr>
        <w:rPr>
          <w:rFonts w:ascii="Cambria" w:hAnsi="Cambria" w:cstheme="minorHAnsi"/>
          <w:color w:val="000000" w:themeColor="text1"/>
        </w:rPr>
      </w:pPr>
    </w:p>
    <w:p w14:paraId="2ACD4AA6" w14:textId="090A5CFE" w:rsidR="004F76B4" w:rsidRDefault="004F76B4">
      <w:pPr>
        <w:rPr>
          <w:rFonts w:ascii="Cambria" w:hAnsi="Cambria" w:cstheme="minorHAnsi"/>
        </w:rPr>
      </w:pPr>
      <w:r>
        <w:rPr>
          <w:rFonts w:ascii="Cambria" w:hAnsi="Cambria" w:cstheme="minorHAnsi"/>
        </w:rPr>
        <w:br w:type="page"/>
      </w:r>
    </w:p>
    <w:p w14:paraId="4E9B8F8A" w14:textId="67607CE2" w:rsidR="0035384C" w:rsidRPr="004F76B4" w:rsidRDefault="0035384C" w:rsidP="0035384C">
      <w:pPr>
        <w:spacing w:after="0" w:line="240" w:lineRule="auto"/>
        <w:rPr>
          <w:rFonts w:ascii="Cambria" w:eastAsia="MS Mincho" w:hAnsi="Cambria" w:cs="Calibri"/>
          <w:b/>
          <w:bCs/>
          <w:color w:val="000000"/>
          <w:sz w:val="24"/>
          <w:szCs w:val="24"/>
        </w:rPr>
      </w:pPr>
      <w:r w:rsidRPr="004F76B4">
        <w:rPr>
          <w:rFonts w:ascii="Cambria" w:eastAsia="MS Mincho" w:hAnsi="Cambria" w:cs="Calibri"/>
          <w:b/>
          <w:bCs/>
          <w:color w:val="000000"/>
          <w:sz w:val="24"/>
          <w:szCs w:val="24"/>
        </w:rPr>
        <w:lastRenderedPageBreak/>
        <w:t>Submission Process:</w:t>
      </w:r>
    </w:p>
    <w:p w14:paraId="40DE7368" w14:textId="77777777" w:rsidR="0035384C" w:rsidRPr="004F76B4" w:rsidRDefault="0035384C" w:rsidP="0035384C">
      <w:pPr>
        <w:spacing w:after="0" w:line="240" w:lineRule="auto"/>
        <w:rPr>
          <w:rFonts w:ascii="Cambria" w:eastAsia="MS Mincho" w:hAnsi="Cambria" w:cs="Calibri"/>
          <w:color w:val="000000"/>
          <w:sz w:val="24"/>
          <w:szCs w:val="24"/>
        </w:rPr>
      </w:pPr>
    </w:p>
    <w:p w14:paraId="30FE2131" w14:textId="3802833F" w:rsidR="0035384C" w:rsidRPr="004F76B4" w:rsidRDefault="0035384C" w:rsidP="0035384C">
      <w:p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The overall purpose of the submission process for all Catamount Core requirements is to maintain the integrity of the general education curriculum at UVM and to ensure that approved courses maintain alignment with the learning outcomes for the corresponding Catamount Core category. A copy of the evaluation rubric used by the review committee is provided at the very end of this form. The review process can result in</w:t>
      </w:r>
      <w:r w:rsidR="00006715">
        <w:rPr>
          <w:rFonts w:ascii="Cambria" w:eastAsia="MS Mincho" w:hAnsi="Cambria" w:cs="Calibri"/>
          <w:color w:val="000000"/>
          <w:sz w:val="24"/>
          <w:szCs w:val="24"/>
        </w:rPr>
        <w:t xml:space="preserve"> one of three outcomes</w:t>
      </w:r>
      <w:r w:rsidRPr="004F76B4">
        <w:rPr>
          <w:rFonts w:ascii="Cambria" w:eastAsia="MS Mincho" w:hAnsi="Cambria" w:cs="Calibri"/>
          <w:color w:val="000000"/>
          <w:sz w:val="24"/>
          <w:szCs w:val="24"/>
        </w:rPr>
        <w:t>:</w:t>
      </w:r>
    </w:p>
    <w:p w14:paraId="204C286C" w14:textId="77777777" w:rsidR="0035384C" w:rsidRPr="004F76B4" w:rsidRDefault="0035384C" w:rsidP="0035384C">
      <w:pPr>
        <w:spacing w:after="0" w:line="240" w:lineRule="auto"/>
        <w:rPr>
          <w:rFonts w:ascii="Cambria" w:eastAsia="MS Mincho" w:hAnsi="Cambria" w:cs="Calibri"/>
          <w:color w:val="000000"/>
          <w:sz w:val="24"/>
          <w:szCs w:val="24"/>
        </w:rPr>
      </w:pPr>
    </w:p>
    <w:p w14:paraId="24B785FC" w14:textId="00BF4409" w:rsidR="0035384C" w:rsidRPr="004F76B4" w:rsidRDefault="0035384C" w:rsidP="004F76B4">
      <w:pPr>
        <w:pStyle w:val="ListParagraph"/>
        <w:numPr>
          <w:ilvl w:val="0"/>
          <w:numId w:val="5"/>
        </w:num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Approval (the course will be assigned the requested Catamount Core designation for a 5 year-period)</w:t>
      </w:r>
      <w:r w:rsidR="00976F14">
        <w:rPr>
          <w:rFonts w:ascii="Cambria" w:eastAsia="MS Mincho" w:hAnsi="Cambria" w:cs="Calibri"/>
          <w:color w:val="000000"/>
          <w:sz w:val="24"/>
          <w:szCs w:val="24"/>
        </w:rPr>
        <w:br/>
      </w:r>
    </w:p>
    <w:p w14:paraId="2F9BEAB7" w14:textId="44A1B56E" w:rsidR="0035384C" w:rsidRPr="004F76B4" w:rsidRDefault="0035384C" w:rsidP="004F76B4">
      <w:pPr>
        <w:pStyle w:val="ListParagraph"/>
        <w:numPr>
          <w:ilvl w:val="0"/>
          <w:numId w:val="5"/>
        </w:num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Revisions requested (the review committee may ask for changes to be made to the course or for additional information prior to approval)</w:t>
      </w:r>
      <w:r w:rsidR="00976F14">
        <w:rPr>
          <w:rFonts w:ascii="Cambria" w:eastAsia="MS Mincho" w:hAnsi="Cambria" w:cs="Calibri"/>
          <w:color w:val="000000"/>
          <w:sz w:val="24"/>
          <w:szCs w:val="24"/>
        </w:rPr>
        <w:br/>
      </w:r>
    </w:p>
    <w:p w14:paraId="0B8843FA" w14:textId="77777777" w:rsidR="0035384C" w:rsidRPr="004F76B4" w:rsidRDefault="0035384C" w:rsidP="004F76B4">
      <w:pPr>
        <w:pStyle w:val="ListParagraph"/>
        <w:numPr>
          <w:ilvl w:val="0"/>
          <w:numId w:val="5"/>
        </w:num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Rejection (the course as currently constructed and/or presented in the submission materials does not meet the approval criteria designation)</w:t>
      </w:r>
    </w:p>
    <w:p w14:paraId="05A48AF7" w14:textId="77777777" w:rsidR="0035384C" w:rsidRPr="004F76B4" w:rsidRDefault="0035384C" w:rsidP="0035384C">
      <w:pPr>
        <w:spacing w:after="0" w:line="240" w:lineRule="auto"/>
        <w:rPr>
          <w:rFonts w:ascii="Cambria" w:eastAsia="MS Mincho" w:hAnsi="Cambria" w:cs="Calibri"/>
          <w:color w:val="000000"/>
          <w:sz w:val="24"/>
          <w:szCs w:val="24"/>
        </w:rPr>
      </w:pPr>
    </w:p>
    <w:p w14:paraId="1473E19A" w14:textId="77777777" w:rsidR="0035384C" w:rsidRPr="004F76B4" w:rsidRDefault="0035384C" w:rsidP="0035384C">
      <w:pPr>
        <w:spacing w:after="0" w:line="240" w:lineRule="auto"/>
        <w:rPr>
          <w:rFonts w:ascii="Cambria" w:eastAsia="MS Mincho" w:hAnsi="Cambria" w:cs="Calibri"/>
          <w:color w:val="000000"/>
          <w:sz w:val="24"/>
          <w:szCs w:val="24"/>
        </w:rPr>
      </w:pPr>
      <w:r w:rsidRPr="004F76B4">
        <w:rPr>
          <w:rFonts w:ascii="Cambria" w:eastAsia="MS Mincho" w:hAnsi="Cambria" w:cs="Calibri"/>
          <w:color w:val="000000"/>
          <w:sz w:val="24"/>
          <w:szCs w:val="24"/>
        </w:rPr>
        <w:t xml:space="preserve">The committee needs both a syllabus, and detailed information about how a course addresses the GC1 outcomes in order to complete its review.  Information about how the outcomes are addressed can be provided via either a brief narrative </w:t>
      </w:r>
      <w:r w:rsidRPr="004F76B4">
        <w:rPr>
          <w:rFonts w:ascii="Cambria" w:eastAsia="MS Mincho" w:hAnsi="Cambria" w:cs="Calibri"/>
          <w:i/>
          <w:iCs/>
          <w:color w:val="000000"/>
          <w:sz w:val="24"/>
          <w:szCs w:val="24"/>
        </w:rPr>
        <w:t>or</w:t>
      </w:r>
      <w:r w:rsidRPr="004F76B4">
        <w:rPr>
          <w:rFonts w:ascii="Cambria" w:eastAsia="MS Mincho" w:hAnsi="Cambria" w:cs="Calibri"/>
          <w:color w:val="000000"/>
          <w:sz w:val="24"/>
          <w:szCs w:val="24"/>
        </w:rPr>
        <w:t xml:space="preserve"> detailed information in the outcomes chart below. You may choose to include both a narrative and the outcomes chart if that is helpful in providing the committee with necessary information:</w:t>
      </w:r>
    </w:p>
    <w:p w14:paraId="427F8C3E" w14:textId="77777777" w:rsidR="0035384C" w:rsidRPr="004F76B4" w:rsidRDefault="0035384C" w:rsidP="0035384C">
      <w:pPr>
        <w:spacing w:after="0" w:line="240" w:lineRule="auto"/>
        <w:rPr>
          <w:rFonts w:ascii="Cambria" w:eastAsia="MS Mincho" w:hAnsi="Cambria" w:cs="Calibri"/>
          <w:color w:val="000000"/>
          <w:sz w:val="24"/>
          <w:szCs w:val="24"/>
        </w:rPr>
      </w:pPr>
    </w:p>
    <w:p w14:paraId="3233F859" w14:textId="1401CDD9" w:rsidR="0035384C" w:rsidRPr="004F76B4" w:rsidRDefault="0035384C" w:rsidP="0035384C">
      <w:pPr>
        <w:numPr>
          <w:ilvl w:val="0"/>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Calibri"/>
          <w:color w:val="000000"/>
          <w:sz w:val="24"/>
          <w:szCs w:val="24"/>
        </w:rPr>
        <w:t xml:space="preserve">A sample course syllabus </w:t>
      </w:r>
      <w:r w:rsidRPr="004F76B4">
        <w:rPr>
          <w:rFonts w:ascii="Cambria" w:eastAsia="MS Mincho" w:hAnsi="Cambria" w:cs="Calibri"/>
          <w:i/>
          <w:iCs/>
          <w:color w:val="000000"/>
          <w:sz w:val="24"/>
          <w:szCs w:val="24"/>
        </w:rPr>
        <w:t>that includes a list of key readings and assignments</w:t>
      </w:r>
      <w:r w:rsidRPr="004F76B4">
        <w:rPr>
          <w:rFonts w:ascii="Cambria" w:eastAsia="MS Mincho" w:hAnsi="Cambria" w:cs="Calibri"/>
          <w:color w:val="000000"/>
          <w:sz w:val="24"/>
          <w:szCs w:val="24"/>
        </w:rPr>
        <w:t xml:space="preserve"> as well as the required description of the GC1 category provided above, as well as listing the specific GC1 outcomes your course meets;</w:t>
      </w:r>
      <w:r w:rsidRPr="004F76B4">
        <w:rPr>
          <w:rFonts w:ascii="Cambria" w:eastAsia="MS Mincho" w:hAnsi="Cambria" w:cs="Calibri"/>
          <w:color w:val="000000"/>
          <w:sz w:val="24"/>
          <w:szCs w:val="24"/>
        </w:rPr>
        <w:br/>
      </w:r>
    </w:p>
    <w:p w14:paraId="0ECB2F4C" w14:textId="60EA54E7" w:rsidR="0035384C" w:rsidRPr="004F76B4" w:rsidRDefault="0035384C" w:rsidP="004F76B4">
      <w:pPr>
        <w:spacing w:after="0" w:line="240" w:lineRule="auto"/>
        <w:ind w:left="720"/>
        <w:contextualSpacing/>
        <w:rPr>
          <w:rFonts w:ascii="Cambria" w:eastAsia="MS Mincho" w:hAnsi="Cambria" w:cs="Calibri"/>
          <w:color w:val="000000"/>
          <w:sz w:val="24"/>
          <w:szCs w:val="24"/>
        </w:rPr>
      </w:pPr>
      <w:r w:rsidRPr="004F76B4">
        <w:rPr>
          <w:rFonts w:ascii="Cambria" w:eastAsia="MS Mincho" w:hAnsi="Cambria" w:cs="Calibri"/>
          <w:color w:val="000000"/>
          <w:sz w:val="24"/>
          <w:szCs w:val="24"/>
        </w:rPr>
        <w:t>PLUS</w:t>
      </w:r>
      <w:r w:rsidR="004F76B4">
        <w:rPr>
          <w:rFonts w:ascii="Cambria" w:eastAsia="MS Mincho" w:hAnsi="Cambria" w:cs="Calibri"/>
          <w:color w:val="000000"/>
          <w:sz w:val="24"/>
          <w:szCs w:val="24"/>
        </w:rPr>
        <w:t xml:space="preserve">, </w:t>
      </w:r>
      <w:r w:rsidRPr="004F76B4">
        <w:rPr>
          <w:rFonts w:ascii="Cambria" w:eastAsia="MS Mincho" w:hAnsi="Cambria" w:cs="Calibri"/>
          <w:color w:val="000000"/>
          <w:sz w:val="24"/>
          <w:szCs w:val="24"/>
        </w:rPr>
        <w:t>either a brief narrative or the completed outcomes chart, or both. Please provide specific examples of course activities and readings in your narrative or learning outcomes rubric, so that it is clear to the review committee how your course meets the course approval criteria:</w:t>
      </w:r>
      <w:r w:rsidR="004F76B4">
        <w:rPr>
          <w:rFonts w:ascii="Cambria" w:eastAsia="MS Mincho" w:hAnsi="Cambria" w:cs="Calibri"/>
          <w:color w:val="000000"/>
          <w:sz w:val="24"/>
          <w:szCs w:val="24"/>
        </w:rPr>
        <w:br/>
      </w:r>
    </w:p>
    <w:p w14:paraId="23E23C98" w14:textId="77777777" w:rsidR="0035384C" w:rsidRPr="004F76B4" w:rsidRDefault="0035384C" w:rsidP="0035384C">
      <w:pPr>
        <w:numPr>
          <w:ilvl w:val="0"/>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Calibri"/>
          <w:color w:val="000000"/>
          <w:sz w:val="24"/>
          <w:szCs w:val="24"/>
        </w:rPr>
        <w:t>Clearly identify the specific GC1 outcomes your course meets, and provide a brief narrative (approximately one single-spaced page) that addresses the following:</w:t>
      </w:r>
    </w:p>
    <w:p w14:paraId="393B5FB9" w14:textId="77777777" w:rsidR="0035384C" w:rsidRPr="004F76B4" w:rsidRDefault="0035384C" w:rsidP="0035384C">
      <w:pPr>
        <w:numPr>
          <w:ilvl w:val="1"/>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Calibri"/>
          <w:color w:val="000000"/>
          <w:sz w:val="24"/>
          <w:szCs w:val="24"/>
        </w:rPr>
        <w:t xml:space="preserve">Briefly describe how the course meets the approval criteria below. </w:t>
      </w:r>
    </w:p>
    <w:p w14:paraId="35D40124" w14:textId="77777777" w:rsidR="0035384C" w:rsidRPr="004F76B4" w:rsidRDefault="0035384C" w:rsidP="0035384C">
      <w:pPr>
        <w:numPr>
          <w:ilvl w:val="1"/>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Calibri"/>
          <w:color w:val="000000"/>
          <w:sz w:val="24"/>
          <w:szCs w:val="24"/>
        </w:rPr>
        <w:t>If not including the outcomes chart below, briefly summarize relevant topics/and learning activities and how and where students’ achievement of the specific outcomes you identified above will be assessed (e.g. research paper; creative work; exam question; presentation);</w:t>
      </w:r>
    </w:p>
    <w:p w14:paraId="4A2E9953" w14:textId="78BCE462" w:rsidR="004F76B4" w:rsidRPr="004F76B4" w:rsidRDefault="0035384C" w:rsidP="004F76B4">
      <w:pPr>
        <w:numPr>
          <w:ilvl w:val="1"/>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Times New Roman"/>
          <w:sz w:val="24"/>
          <w:szCs w:val="24"/>
        </w:rPr>
        <w:t xml:space="preserve"> Any other contextual information that can assist the committee in its review</w:t>
      </w:r>
      <w:r w:rsidR="004F76B4">
        <w:rPr>
          <w:rFonts w:ascii="Cambria" w:eastAsia="MS Mincho" w:hAnsi="Cambria" w:cs="Times New Roman"/>
          <w:sz w:val="24"/>
          <w:szCs w:val="24"/>
        </w:rPr>
        <w:t>.</w:t>
      </w:r>
      <w:r w:rsidR="004F76B4">
        <w:rPr>
          <w:rFonts w:ascii="Cambria" w:eastAsia="MS Mincho" w:hAnsi="Cambria" w:cs="Times New Roman"/>
          <w:sz w:val="24"/>
          <w:szCs w:val="24"/>
        </w:rPr>
        <w:br/>
      </w:r>
    </w:p>
    <w:p w14:paraId="2DD750CD" w14:textId="1A3DA6A4" w:rsidR="0035384C" w:rsidRPr="004F76B4" w:rsidRDefault="0035384C" w:rsidP="004F76B4">
      <w:pPr>
        <w:numPr>
          <w:ilvl w:val="0"/>
          <w:numId w:val="4"/>
        </w:numPr>
        <w:spacing w:after="0" w:line="240" w:lineRule="auto"/>
        <w:contextualSpacing/>
        <w:rPr>
          <w:rFonts w:ascii="Cambria" w:eastAsia="MS Mincho" w:hAnsi="Cambria" w:cs="Calibri"/>
          <w:color w:val="000000"/>
          <w:sz w:val="24"/>
          <w:szCs w:val="24"/>
        </w:rPr>
      </w:pPr>
      <w:r w:rsidRPr="004F76B4">
        <w:rPr>
          <w:rFonts w:ascii="Cambria" w:eastAsia="MS Mincho" w:hAnsi="Cambria" w:cs="Times New Roman"/>
          <w:sz w:val="24"/>
          <w:szCs w:val="24"/>
        </w:rPr>
        <w:t>The student learning outcomes chart provided below, indicating for each chosen student learning outcome: activities and topics that will support their learning in this area; and the means by which student achievement of each outcome will be assessed (e.g. research paper; creative work; exam question; presentation). Information can be provided in bullet form, but should include substantive information on both topics/activities and assessment.</w:t>
      </w:r>
    </w:p>
    <w:p w14:paraId="3843A143" w14:textId="77777777" w:rsidR="0035384C" w:rsidRPr="004F76B4" w:rsidRDefault="0035384C" w:rsidP="0035384C">
      <w:pPr>
        <w:spacing w:after="0" w:line="240" w:lineRule="auto"/>
        <w:rPr>
          <w:rFonts w:ascii="Cambria" w:eastAsia="Times New Roman" w:hAnsi="Cambria" w:cs="Cambria"/>
          <w:b/>
          <w:bCs/>
          <w:color w:val="000000"/>
          <w:sz w:val="24"/>
          <w:szCs w:val="24"/>
        </w:rPr>
      </w:pPr>
    </w:p>
    <w:p w14:paraId="158E6A8C" w14:textId="619D225D" w:rsidR="005B4E52" w:rsidRDefault="005B4E52">
      <w:pPr>
        <w:rPr>
          <w:rFonts w:ascii="Cambria" w:eastAsia="MS Mincho" w:hAnsi="Cambria" w:cs="Calibri"/>
          <w:color w:val="000000"/>
          <w:sz w:val="24"/>
          <w:szCs w:val="24"/>
        </w:rPr>
      </w:pPr>
      <w:r>
        <w:rPr>
          <w:rFonts w:ascii="Cambria" w:eastAsia="MS Mincho" w:hAnsi="Cambria" w:cs="Calibri"/>
          <w:color w:val="000000"/>
          <w:sz w:val="24"/>
          <w:szCs w:val="24"/>
        </w:rPr>
        <w:br w:type="page"/>
      </w:r>
    </w:p>
    <w:p w14:paraId="139A4338" w14:textId="77777777" w:rsidR="0035384C" w:rsidRPr="004F76B4" w:rsidRDefault="0035384C" w:rsidP="0035384C">
      <w:pPr>
        <w:spacing w:after="0" w:line="240" w:lineRule="auto"/>
        <w:rPr>
          <w:rFonts w:ascii="Cambria" w:eastAsia="MS Mincho" w:hAnsi="Cambria" w:cs="Calibri"/>
          <w:b/>
          <w:bCs/>
          <w:color w:val="000000"/>
          <w:sz w:val="24"/>
          <w:szCs w:val="24"/>
        </w:rPr>
      </w:pPr>
      <w:r w:rsidRPr="004F76B4">
        <w:rPr>
          <w:rFonts w:ascii="Cambria" w:eastAsia="MS Mincho" w:hAnsi="Cambria" w:cs="Calibri"/>
          <w:b/>
          <w:bCs/>
          <w:color w:val="000000"/>
          <w:sz w:val="24"/>
          <w:szCs w:val="24"/>
        </w:rPr>
        <w:lastRenderedPageBreak/>
        <w:t>GC1: Global Systems and Problems Course Approval Criteria</w:t>
      </w:r>
    </w:p>
    <w:p w14:paraId="20118454" w14:textId="77777777" w:rsidR="0035384C" w:rsidRPr="004F76B4" w:rsidRDefault="0035384C" w:rsidP="0035384C">
      <w:pPr>
        <w:spacing w:after="0" w:line="240" w:lineRule="auto"/>
        <w:rPr>
          <w:rFonts w:ascii="Cambria" w:eastAsia="Times New Roman" w:hAnsi="Cambria" w:cs="Cambria"/>
          <w:b/>
          <w:bCs/>
          <w:color w:val="000000"/>
          <w:sz w:val="24"/>
          <w:szCs w:val="24"/>
        </w:rPr>
      </w:pPr>
      <w:r w:rsidRPr="004F76B4">
        <w:rPr>
          <w:rFonts w:ascii="Cambria" w:eastAsia="Times New Roman" w:hAnsi="Cambria" w:cs="Cambria"/>
          <w:b/>
          <w:bCs/>
          <w:color w:val="000000"/>
          <w:sz w:val="24"/>
          <w:szCs w:val="24"/>
        </w:rPr>
        <w:t>Courses must be at least three credits and meet all three of these criteria:</w:t>
      </w:r>
    </w:p>
    <w:p w14:paraId="17110BA0" w14:textId="77777777" w:rsidR="005B4E52" w:rsidRDefault="005B4E52" w:rsidP="005B4E52">
      <w:pPr>
        <w:spacing w:after="0" w:line="240" w:lineRule="auto"/>
        <w:ind w:right="101"/>
        <w:rPr>
          <w:rFonts w:ascii="Cambria" w:eastAsia="MS Mincho" w:hAnsi="Cambria" w:cs="Times New Roman"/>
          <w:sz w:val="24"/>
          <w:szCs w:val="24"/>
        </w:rPr>
      </w:pPr>
    </w:p>
    <w:p w14:paraId="5B0E3AD8" w14:textId="7D1C5A65" w:rsidR="0035384C" w:rsidRPr="004F76B4" w:rsidRDefault="0035384C" w:rsidP="005B4E52">
      <w:pPr>
        <w:spacing w:after="0" w:line="240" w:lineRule="auto"/>
        <w:ind w:right="101"/>
        <w:rPr>
          <w:rFonts w:ascii="Cambria" w:eastAsia="MS Mincho" w:hAnsi="Cambria" w:cs="Times New Roman"/>
          <w:sz w:val="24"/>
          <w:szCs w:val="24"/>
        </w:rPr>
      </w:pPr>
      <w:r w:rsidRPr="004F76B4">
        <w:rPr>
          <w:rFonts w:ascii="Cambria" w:eastAsia="MS Mincho" w:hAnsi="Cambria" w:cs="Times New Roman"/>
          <w:sz w:val="24"/>
          <w:szCs w:val="24"/>
        </w:rPr>
        <w:t>To be considered for meeting the GC1 pathway, a course must emphasize material (lectures, videos, readings, activities) and require significant student work (papers, exams, portfolios, etc.) that:</w:t>
      </w:r>
      <w:r w:rsidR="005B4E52">
        <w:rPr>
          <w:rFonts w:ascii="Cambria" w:eastAsia="MS Mincho" w:hAnsi="Cambria" w:cs="Times New Roman"/>
          <w:sz w:val="24"/>
          <w:szCs w:val="24"/>
        </w:rPr>
        <w:br/>
      </w:r>
    </w:p>
    <w:p w14:paraId="4BF45060" w14:textId="77777777" w:rsidR="0035384C" w:rsidRPr="004F76B4" w:rsidRDefault="0035384C" w:rsidP="0035384C">
      <w:pPr>
        <w:widowControl w:val="0"/>
        <w:numPr>
          <w:ilvl w:val="0"/>
          <w:numId w:val="1"/>
        </w:numPr>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Address phenomena that are global in nature; and</w:t>
      </w:r>
    </w:p>
    <w:p w14:paraId="76BC5FE5" w14:textId="77777777" w:rsidR="0035384C" w:rsidRPr="004F76B4" w:rsidRDefault="0035384C" w:rsidP="0035384C">
      <w:pPr>
        <w:widowControl w:val="0"/>
        <w:numPr>
          <w:ilvl w:val="0"/>
          <w:numId w:val="1"/>
        </w:numPr>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Address these phenomena through at least one of the following lenses: artistic, cultural, ecological, economic, human health, political, or technological; and</w:t>
      </w:r>
    </w:p>
    <w:p w14:paraId="33B7B90C" w14:textId="77777777" w:rsidR="0035384C" w:rsidRPr="004F76B4" w:rsidRDefault="0035384C" w:rsidP="0035384C">
      <w:pPr>
        <w:widowControl w:val="0"/>
        <w:numPr>
          <w:ilvl w:val="0"/>
          <w:numId w:val="1"/>
        </w:numPr>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Explore the opportunities and challenges created by the interconnectedness and interdependence of global phenomena outlined in #1.</w:t>
      </w:r>
    </w:p>
    <w:p w14:paraId="2A42C7B8" w14:textId="77777777" w:rsidR="0035384C" w:rsidRPr="004F76B4" w:rsidRDefault="0035384C" w:rsidP="0035384C">
      <w:pPr>
        <w:spacing w:after="0" w:line="240" w:lineRule="auto"/>
        <w:ind w:left="360"/>
        <w:rPr>
          <w:rFonts w:ascii="Cambria" w:eastAsia="Times New Roman" w:hAnsi="Cambria" w:cs="Cambria"/>
          <w:color w:val="000000"/>
          <w:sz w:val="24"/>
          <w:szCs w:val="24"/>
        </w:rPr>
      </w:pPr>
    </w:p>
    <w:p w14:paraId="5EF4A6D3" w14:textId="77777777" w:rsidR="0035384C" w:rsidRPr="004F76B4" w:rsidRDefault="0035384C" w:rsidP="0035384C">
      <w:pPr>
        <w:spacing w:after="0" w:line="240" w:lineRule="auto"/>
        <w:rPr>
          <w:rFonts w:ascii="Cambria" w:eastAsia="Times New Roman" w:hAnsi="Cambria" w:cs="Cambria"/>
          <w:color w:val="000000"/>
          <w:sz w:val="24"/>
          <w:szCs w:val="24"/>
        </w:rPr>
      </w:pPr>
      <w:r w:rsidRPr="004F76B4">
        <w:rPr>
          <w:rFonts w:ascii="Cambria" w:eastAsia="Times New Roman" w:hAnsi="Cambria" w:cs="Cambria"/>
          <w:color w:val="000000"/>
          <w:sz w:val="24"/>
          <w:szCs w:val="24"/>
        </w:rPr>
        <w:t>In addition, the course must address and assess student learning outcomes listed below.</w:t>
      </w:r>
    </w:p>
    <w:p w14:paraId="6AB0C358" w14:textId="77777777" w:rsidR="0035384C" w:rsidRPr="004F76B4" w:rsidRDefault="0035384C" w:rsidP="0035384C">
      <w:pPr>
        <w:spacing w:after="0" w:line="240" w:lineRule="auto"/>
        <w:rPr>
          <w:rFonts w:ascii="Cambria" w:eastAsia="Times New Roman" w:hAnsi="Cambria" w:cs="Cambria"/>
          <w:b/>
          <w:bCs/>
          <w:color w:val="000000"/>
          <w:sz w:val="24"/>
          <w:szCs w:val="24"/>
        </w:rPr>
      </w:pPr>
    </w:p>
    <w:p w14:paraId="4C149B08" w14:textId="77777777" w:rsidR="005B4E52" w:rsidRDefault="0035384C" w:rsidP="005B4E52">
      <w:pPr>
        <w:spacing w:after="0" w:line="240" w:lineRule="auto"/>
        <w:rPr>
          <w:rFonts w:ascii="Cambria" w:eastAsia="Times New Roman" w:hAnsi="Cambria" w:cs="Cambria"/>
          <w:b/>
          <w:bCs/>
          <w:color w:val="000000"/>
          <w:sz w:val="24"/>
          <w:szCs w:val="24"/>
        </w:rPr>
      </w:pPr>
      <w:r w:rsidRPr="004F76B4">
        <w:rPr>
          <w:rFonts w:ascii="Cambria" w:eastAsia="Times New Roman" w:hAnsi="Cambria" w:cs="Cambria"/>
          <w:b/>
          <w:bCs/>
          <w:color w:val="000000"/>
          <w:sz w:val="24"/>
          <w:szCs w:val="24"/>
        </w:rPr>
        <w:t>Student Learning Outcomes:</w:t>
      </w:r>
    </w:p>
    <w:p w14:paraId="1E26CEDC" w14:textId="77777777" w:rsidR="005B4E52" w:rsidRDefault="005B4E52" w:rsidP="005B4E52">
      <w:pPr>
        <w:spacing w:after="0" w:line="240" w:lineRule="auto"/>
        <w:rPr>
          <w:rFonts w:ascii="Cambria" w:eastAsia="Calibri" w:hAnsi="Cambria" w:cs="Calibri"/>
          <w:sz w:val="24"/>
          <w:szCs w:val="24"/>
        </w:rPr>
      </w:pPr>
    </w:p>
    <w:p w14:paraId="13A00C66" w14:textId="4D8C65B6" w:rsidR="0035384C" w:rsidRPr="005B4E52" w:rsidRDefault="0035384C" w:rsidP="005B4E52">
      <w:pPr>
        <w:spacing w:after="0" w:line="240" w:lineRule="auto"/>
        <w:rPr>
          <w:rFonts w:ascii="Cambria" w:eastAsia="Times New Roman" w:hAnsi="Cambria" w:cs="Cambria"/>
          <w:b/>
          <w:bCs/>
          <w:color w:val="000000"/>
          <w:sz w:val="24"/>
          <w:szCs w:val="24"/>
        </w:rPr>
      </w:pPr>
      <w:r w:rsidRPr="004F76B4">
        <w:rPr>
          <w:rFonts w:ascii="Cambria" w:eastAsia="Calibri" w:hAnsi="Cambria" w:cs="Calibri"/>
          <w:sz w:val="24"/>
          <w:szCs w:val="24"/>
        </w:rPr>
        <w:t xml:space="preserve">Courses approved for the GC1 must address and assess student achievement of </w:t>
      </w:r>
      <w:r w:rsidRPr="004F76B4">
        <w:rPr>
          <w:rFonts w:ascii="Cambria" w:eastAsia="Calibri" w:hAnsi="Cambria" w:cs="Calibri"/>
          <w:i/>
          <w:iCs/>
          <w:sz w:val="24"/>
          <w:szCs w:val="24"/>
        </w:rPr>
        <w:t>at least two</w:t>
      </w:r>
      <w:r w:rsidRPr="004F76B4">
        <w:rPr>
          <w:rFonts w:ascii="Cambria" w:eastAsia="Calibri" w:hAnsi="Cambria" w:cs="Calibri"/>
          <w:sz w:val="24"/>
          <w:szCs w:val="24"/>
        </w:rPr>
        <w:t xml:space="preserve"> of the following learning outcomes:</w:t>
      </w:r>
      <w:r w:rsidR="005B4E52">
        <w:rPr>
          <w:rFonts w:ascii="Cambria" w:eastAsia="Calibri" w:hAnsi="Cambria" w:cs="Calibri"/>
          <w:sz w:val="24"/>
          <w:szCs w:val="24"/>
        </w:rPr>
        <w:br/>
      </w:r>
    </w:p>
    <w:p w14:paraId="7E08638B" w14:textId="77777777" w:rsidR="0035384C" w:rsidRPr="004F76B4" w:rsidRDefault="0035384C" w:rsidP="0035384C">
      <w:pPr>
        <w:widowControl w:val="0"/>
        <w:numPr>
          <w:ilvl w:val="0"/>
          <w:numId w:val="2"/>
        </w:numPr>
        <w:tabs>
          <w:tab w:val="left" w:pos="820"/>
          <w:tab w:val="left" w:pos="821"/>
        </w:tabs>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Students will understand major elements of global systems, including their historic and contemporary interconnections and the differential effects of human organizations and</w:t>
      </w:r>
      <w:r w:rsidRPr="004F76B4">
        <w:rPr>
          <w:rFonts w:ascii="Cambria" w:eastAsia="MS Mincho" w:hAnsi="Cambria" w:cs="Times New Roman"/>
          <w:spacing w:val="-21"/>
          <w:sz w:val="24"/>
          <w:szCs w:val="24"/>
        </w:rPr>
        <w:t xml:space="preserve"> </w:t>
      </w:r>
      <w:r w:rsidRPr="004F76B4">
        <w:rPr>
          <w:rFonts w:ascii="Cambria" w:eastAsia="MS Mincho" w:hAnsi="Cambria" w:cs="Times New Roman"/>
          <w:sz w:val="24"/>
          <w:szCs w:val="24"/>
        </w:rPr>
        <w:t>actions.</w:t>
      </w:r>
    </w:p>
    <w:p w14:paraId="22DFB812" w14:textId="77777777" w:rsidR="0035384C" w:rsidRPr="004F76B4" w:rsidRDefault="0035384C" w:rsidP="0035384C">
      <w:pPr>
        <w:widowControl w:val="0"/>
        <w:numPr>
          <w:ilvl w:val="0"/>
          <w:numId w:val="2"/>
        </w:numPr>
        <w:tabs>
          <w:tab w:val="left" w:pos="820"/>
          <w:tab w:val="left" w:pos="821"/>
        </w:tabs>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Students will be able to plan, discern, and evaluate appropriate complex solutions to global challenges using multiple disciplinary perspectives (e.g., cultural, historical, or</w:t>
      </w:r>
      <w:r w:rsidRPr="004F76B4">
        <w:rPr>
          <w:rFonts w:ascii="Cambria" w:eastAsia="MS Mincho" w:hAnsi="Cambria" w:cs="Times New Roman"/>
          <w:spacing w:val="-20"/>
          <w:sz w:val="24"/>
          <w:szCs w:val="24"/>
        </w:rPr>
        <w:t xml:space="preserve"> </w:t>
      </w:r>
      <w:r w:rsidRPr="004F76B4">
        <w:rPr>
          <w:rFonts w:ascii="Cambria" w:eastAsia="MS Mincho" w:hAnsi="Cambria" w:cs="Times New Roman"/>
          <w:sz w:val="24"/>
          <w:szCs w:val="24"/>
        </w:rPr>
        <w:t>scientific).</w:t>
      </w:r>
    </w:p>
    <w:p w14:paraId="7BA545A7" w14:textId="77777777" w:rsidR="0035384C" w:rsidRPr="004F76B4" w:rsidRDefault="0035384C" w:rsidP="0035384C">
      <w:pPr>
        <w:widowControl w:val="0"/>
        <w:numPr>
          <w:ilvl w:val="0"/>
          <w:numId w:val="2"/>
        </w:numPr>
        <w:autoSpaceDE w:val="0"/>
        <w:autoSpaceDN w:val="0"/>
        <w:spacing w:after="0" w:line="240" w:lineRule="auto"/>
        <w:ind w:right="101"/>
        <w:rPr>
          <w:rFonts w:ascii="Cambria" w:eastAsia="MS Mincho" w:hAnsi="Cambria" w:cs="Times New Roman"/>
          <w:color w:val="000000"/>
          <w:sz w:val="24"/>
          <w:szCs w:val="24"/>
        </w:rPr>
      </w:pPr>
      <w:r w:rsidRPr="004F76B4">
        <w:rPr>
          <w:rFonts w:ascii="Cambria" w:eastAsia="MS Mincho" w:hAnsi="Cambria" w:cs="Times New Roman"/>
          <w:sz w:val="24"/>
          <w:szCs w:val="24"/>
        </w:rPr>
        <w:t>Students will be able to draw connections between worldviews, power structures, and experiences of multiple cultures in historical or contemporary contexts, as they apply to global challenges.</w:t>
      </w:r>
    </w:p>
    <w:p w14:paraId="0E6E23F0" w14:textId="77777777" w:rsidR="0035384C" w:rsidRPr="004F76B4" w:rsidRDefault="0035384C" w:rsidP="0035384C">
      <w:pPr>
        <w:spacing w:after="0" w:line="240" w:lineRule="auto"/>
        <w:rPr>
          <w:rFonts w:ascii="Cambria" w:eastAsia="Times New Roman" w:hAnsi="Cambria" w:cs="Calibri"/>
          <w:color w:val="000000"/>
          <w:sz w:val="24"/>
          <w:szCs w:val="24"/>
        </w:rPr>
      </w:pPr>
    </w:p>
    <w:tbl>
      <w:tblPr>
        <w:tblStyle w:val="TableGrid"/>
        <w:tblW w:w="5000" w:type="pct"/>
        <w:tblLook w:val="04A0" w:firstRow="1" w:lastRow="0" w:firstColumn="1" w:lastColumn="0" w:noHBand="0" w:noVBand="1"/>
      </w:tblPr>
      <w:tblGrid>
        <w:gridCol w:w="4711"/>
        <w:gridCol w:w="3537"/>
        <w:gridCol w:w="2542"/>
      </w:tblGrid>
      <w:tr w:rsidR="0035384C" w:rsidRPr="004F76B4" w14:paraId="3257F73E" w14:textId="77777777" w:rsidTr="00D16284">
        <w:tc>
          <w:tcPr>
            <w:tcW w:w="2183" w:type="pct"/>
          </w:tcPr>
          <w:p w14:paraId="326562DD" w14:textId="3DFF102D" w:rsidR="0035384C" w:rsidRPr="004F76B4" w:rsidRDefault="0035384C" w:rsidP="0035384C">
            <w:pPr>
              <w:rPr>
                <w:rFonts w:ascii="Cambria" w:eastAsia="Times New Roman" w:hAnsi="Cambria" w:cs="Calibri"/>
                <w:b/>
                <w:bCs/>
                <w:color w:val="000000"/>
              </w:rPr>
            </w:pPr>
            <w:r w:rsidRPr="004F76B4">
              <w:rPr>
                <w:rFonts w:ascii="Cambria" w:eastAsia="Times New Roman" w:hAnsi="Cambria" w:cs="Calibri"/>
                <w:b/>
                <w:bCs/>
                <w:color w:val="000000"/>
              </w:rPr>
              <w:t xml:space="preserve">GC1 Student Learning Outcomes </w:t>
            </w:r>
            <w:r w:rsidR="005B4E52">
              <w:rPr>
                <w:rFonts w:ascii="Cambria" w:eastAsia="Times New Roman" w:hAnsi="Cambria" w:cs="Calibri"/>
                <w:b/>
                <w:bCs/>
                <w:color w:val="000000"/>
              </w:rPr>
              <w:br/>
            </w:r>
            <w:r w:rsidRPr="004F76B4">
              <w:rPr>
                <w:rFonts w:ascii="Cambria" w:eastAsia="Times New Roman" w:hAnsi="Cambria" w:cs="Calibri"/>
                <w:b/>
                <w:bCs/>
                <w:color w:val="000000"/>
              </w:rPr>
              <w:t>(must meet at least 2)</w:t>
            </w:r>
          </w:p>
        </w:tc>
        <w:tc>
          <w:tcPr>
            <w:tcW w:w="1639" w:type="pct"/>
          </w:tcPr>
          <w:p w14:paraId="768E865C" w14:textId="77777777" w:rsidR="0035384C" w:rsidRPr="004F76B4" w:rsidRDefault="0035384C" w:rsidP="0035384C">
            <w:pPr>
              <w:rPr>
                <w:rFonts w:ascii="Cambria" w:eastAsia="Times New Roman" w:hAnsi="Cambria" w:cs="Calibri"/>
                <w:b/>
                <w:bCs/>
                <w:color w:val="000000"/>
              </w:rPr>
            </w:pPr>
            <w:r w:rsidRPr="004F76B4">
              <w:rPr>
                <w:rFonts w:ascii="Cambria" w:eastAsia="Times New Roman" w:hAnsi="Cambria" w:cs="Calibri"/>
                <w:b/>
                <w:bCs/>
                <w:color w:val="000000"/>
              </w:rPr>
              <w:t>Activities/Topics</w:t>
            </w:r>
          </w:p>
        </w:tc>
        <w:tc>
          <w:tcPr>
            <w:tcW w:w="1178" w:type="pct"/>
          </w:tcPr>
          <w:p w14:paraId="54C55B9A" w14:textId="77777777" w:rsidR="0035384C" w:rsidRPr="004F76B4" w:rsidRDefault="0035384C" w:rsidP="0035384C">
            <w:pPr>
              <w:rPr>
                <w:rFonts w:ascii="Cambria" w:eastAsia="Times New Roman" w:hAnsi="Cambria" w:cs="Calibri"/>
                <w:b/>
                <w:bCs/>
                <w:color w:val="000000"/>
              </w:rPr>
            </w:pPr>
            <w:r w:rsidRPr="004F76B4">
              <w:rPr>
                <w:rFonts w:ascii="Cambria" w:eastAsia="Times New Roman" w:hAnsi="Cambria" w:cs="Calibri"/>
                <w:b/>
                <w:bCs/>
                <w:color w:val="000000"/>
              </w:rPr>
              <w:t>Assessment</w:t>
            </w:r>
          </w:p>
        </w:tc>
      </w:tr>
      <w:tr w:rsidR="0035384C" w:rsidRPr="004F76B4" w14:paraId="70CC89C5" w14:textId="77777777" w:rsidTr="00D16284">
        <w:tc>
          <w:tcPr>
            <w:tcW w:w="2183" w:type="pct"/>
          </w:tcPr>
          <w:p w14:paraId="73B4C642" w14:textId="77777777" w:rsidR="0035384C" w:rsidRPr="004F76B4" w:rsidRDefault="0035384C" w:rsidP="0035384C">
            <w:pPr>
              <w:widowControl w:val="0"/>
              <w:tabs>
                <w:tab w:val="left" w:pos="820"/>
                <w:tab w:val="left" w:pos="821"/>
              </w:tabs>
              <w:autoSpaceDE w:val="0"/>
              <w:autoSpaceDN w:val="0"/>
              <w:ind w:right="101"/>
              <w:rPr>
                <w:rFonts w:ascii="Cambria" w:hAnsi="Cambria" w:cs="Times New Roman"/>
                <w:color w:val="000000"/>
              </w:rPr>
            </w:pPr>
            <w:r w:rsidRPr="004F76B4">
              <w:rPr>
                <w:rFonts w:ascii="Cambria" w:hAnsi="Cambria" w:cs="Times New Roman"/>
              </w:rPr>
              <w:t>Students will understand major elements of global systems, including their historic and contemporary interconnections and the differential effects of human organizations and</w:t>
            </w:r>
            <w:r w:rsidRPr="004F76B4">
              <w:rPr>
                <w:rFonts w:ascii="Cambria" w:hAnsi="Cambria" w:cs="Times New Roman"/>
                <w:spacing w:val="-21"/>
              </w:rPr>
              <w:t xml:space="preserve"> </w:t>
            </w:r>
            <w:r w:rsidRPr="004F76B4">
              <w:rPr>
                <w:rFonts w:ascii="Cambria" w:hAnsi="Cambria" w:cs="Times New Roman"/>
              </w:rPr>
              <w:t>actions.</w:t>
            </w:r>
          </w:p>
          <w:p w14:paraId="7926CFC7" w14:textId="77777777" w:rsidR="0035384C" w:rsidRPr="004F76B4" w:rsidRDefault="0035384C" w:rsidP="0035384C">
            <w:pPr>
              <w:ind w:left="720"/>
              <w:rPr>
                <w:rFonts w:ascii="Cambria" w:eastAsia="Times New Roman" w:hAnsi="Cambria" w:cs="Calibri"/>
                <w:color w:val="000000"/>
              </w:rPr>
            </w:pPr>
          </w:p>
        </w:tc>
        <w:tc>
          <w:tcPr>
            <w:tcW w:w="1639" w:type="pct"/>
          </w:tcPr>
          <w:p w14:paraId="60FE0498" w14:textId="77777777" w:rsidR="0035384C" w:rsidRPr="004F76B4" w:rsidRDefault="0035384C" w:rsidP="0035384C">
            <w:pPr>
              <w:rPr>
                <w:rFonts w:ascii="Cambria" w:eastAsia="Times New Roman" w:hAnsi="Cambria" w:cs="Calibri"/>
                <w:color w:val="000000"/>
              </w:rPr>
            </w:pPr>
          </w:p>
        </w:tc>
        <w:tc>
          <w:tcPr>
            <w:tcW w:w="1178" w:type="pct"/>
          </w:tcPr>
          <w:p w14:paraId="0C032C70" w14:textId="77777777" w:rsidR="0035384C" w:rsidRPr="004F76B4" w:rsidRDefault="0035384C" w:rsidP="0035384C">
            <w:pPr>
              <w:rPr>
                <w:rFonts w:ascii="Cambria" w:eastAsia="Times New Roman" w:hAnsi="Cambria" w:cs="Calibri"/>
                <w:color w:val="000000"/>
              </w:rPr>
            </w:pPr>
          </w:p>
        </w:tc>
      </w:tr>
      <w:tr w:rsidR="0035384C" w:rsidRPr="004F76B4" w14:paraId="30E430FF" w14:textId="77777777" w:rsidTr="00D16284">
        <w:tc>
          <w:tcPr>
            <w:tcW w:w="2183" w:type="pct"/>
          </w:tcPr>
          <w:p w14:paraId="71CE3689" w14:textId="77777777" w:rsidR="0035384C" w:rsidRPr="004F76B4" w:rsidRDefault="0035384C" w:rsidP="0035384C">
            <w:pPr>
              <w:widowControl w:val="0"/>
              <w:tabs>
                <w:tab w:val="left" w:pos="820"/>
                <w:tab w:val="left" w:pos="821"/>
              </w:tabs>
              <w:autoSpaceDE w:val="0"/>
              <w:autoSpaceDN w:val="0"/>
              <w:ind w:right="101"/>
              <w:rPr>
                <w:rFonts w:ascii="Cambria" w:hAnsi="Cambria" w:cs="Times New Roman"/>
                <w:color w:val="000000"/>
              </w:rPr>
            </w:pPr>
            <w:r w:rsidRPr="004F76B4">
              <w:rPr>
                <w:rFonts w:ascii="Cambria" w:hAnsi="Cambria" w:cs="Times New Roman"/>
              </w:rPr>
              <w:t>Students will be able to plan, discern, and evaluate appropriate complex solutions to global challenges using multiple disciplinary perspectives (e.g., cultural, historical, or</w:t>
            </w:r>
            <w:r w:rsidRPr="004F76B4">
              <w:rPr>
                <w:rFonts w:ascii="Cambria" w:hAnsi="Cambria" w:cs="Times New Roman"/>
                <w:spacing w:val="-20"/>
              </w:rPr>
              <w:t xml:space="preserve"> </w:t>
            </w:r>
            <w:r w:rsidRPr="004F76B4">
              <w:rPr>
                <w:rFonts w:ascii="Cambria" w:hAnsi="Cambria" w:cs="Times New Roman"/>
              </w:rPr>
              <w:t>scientific).</w:t>
            </w:r>
          </w:p>
          <w:p w14:paraId="0F0F1C3C" w14:textId="77777777" w:rsidR="0035384C" w:rsidRPr="004F76B4" w:rsidRDefault="0035384C" w:rsidP="0035384C">
            <w:pPr>
              <w:ind w:left="180" w:hanging="180"/>
              <w:rPr>
                <w:rFonts w:ascii="Cambria" w:eastAsia="Times New Roman" w:hAnsi="Cambria" w:cs="Calibri"/>
                <w:color w:val="000000"/>
              </w:rPr>
            </w:pPr>
          </w:p>
        </w:tc>
        <w:tc>
          <w:tcPr>
            <w:tcW w:w="1639" w:type="pct"/>
          </w:tcPr>
          <w:p w14:paraId="51BAE404" w14:textId="77777777" w:rsidR="0035384C" w:rsidRPr="004F76B4" w:rsidRDefault="0035384C" w:rsidP="0035384C">
            <w:pPr>
              <w:rPr>
                <w:rFonts w:ascii="Cambria" w:eastAsia="Times New Roman" w:hAnsi="Cambria" w:cs="Calibri"/>
                <w:color w:val="000000"/>
              </w:rPr>
            </w:pPr>
          </w:p>
        </w:tc>
        <w:tc>
          <w:tcPr>
            <w:tcW w:w="1178" w:type="pct"/>
          </w:tcPr>
          <w:p w14:paraId="09CA4C77" w14:textId="77777777" w:rsidR="0035384C" w:rsidRPr="004F76B4" w:rsidRDefault="0035384C" w:rsidP="0035384C">
            <w:pPr>
              <w:rPr>
                <w:rFonts w:ascii="Cambria" w:eastAsia="Times New Roman" w:hAnsi="Cambria" w:cs="Calibri"/>
                <w:color w:val="000000"/>
              </w:rPr>
            </w:pPr>
          </w:p>
        </w:tc>
      </w:tr>
      <w:tr w:rsidR="0035384C" w:rsidRPr="004F76B4" w14:paraId="7D8511FB" w14:textId="77777777" w:rsidTr="00D16284">
        <w:tc>
          <w:tcPr>
            <w:tcW w:w="2183" w:type="pct"/>
          </w:tcPr>
          <w:p w14:paraId="6102A84A" w14:textId="77777777" w:rsidR="005B4E52" w:rsidRDefault="0035384C" w:rsidP="0035384C">
            <w:pPr>
              <w:rPr>
                <w:rFonts w:ascii="Cambria" w:hAnsi="Cambria" w:cs="Times New Roman"/>
              </w:rPr>
            </w:pPr>
            <w:r w:rsidRPr="004F76B4">
              <w:rPr>
                <w:rFonts w:ascii="Cambria" w:hAnsi="Cambria" w:cs="Times New Roman"/>
              </w:rPr>
              <w:t>Students will be able to draw connections between worldviews, power structures, and experiences of multiple cultures in historical or contemporary contexts, as they apply to global challenges</w:t>
            </w:r>
            <w:r w:rsidR="005B4E52">
              <w:rPr>
                <w:rFonts w:ascii="Cambria" w:hAnsi="Cambria" w:cs="Times New Roman"/>
              </w:rPr>
              <w:t>.</w:t>
            </w:r>
          </w:p>
          <w:p w14:paraId="3D387038" w14:textId="5AAE0500" w:rsidR="0035384C" w:rsidRPr="004F76B4" w:rsidRDefault="0035384C" w:rsidP="0035384C">
            <w:pPr>
              <w:rPr>
                <w:rFonts w:ascii="Cambria" w:eastAsia="Times New Roman" w:hAnsi="Cambria" w:cs="Calibri"/>
                <w:color w:val="000000"/>
              </w:rPr>
            </w:pPr>
            <w:r w:rsidRPr="004F76B4">
              <w:rPr>
                <w:rFonts w:ascii="Cambria" w:eastAsia="Times New Roman" w:hAnsi="Cambria" w:cs="Calibri"/>
                <w:color w:val="000000"/>
              </w:rPr>
              <w:t xml:space="preserve"> </w:t>
            </w:r>
          </w:p>
        </w:tc>
        <w:tc>
          <w:tcPr>
            <w:tcW w:w="1639" w:type="pct"/>
          </w:tcPr>
          <w:p w14:paraId="3935D60E" w14:textId="77777777" w:rsidR="0035384C" w:rsidRPr="004F76B4" w:rsidRDefault="0035384C" w:rsidP="0035384C">
            <w:pPr>
              <w:rPr>
                <w:rFonts w:ascii="Cambria" w:eastAsia="Times New Roman" w:hAnsi="Cambria" w:cs="Calibri"/>
                <w:color w:val="000000"/>
              </w:rPr>
            </w:pPr>
          </w:p>
        </w:tc>
        <w:tc>
          <w:tcPr>
            <w:tcW w:w="1178" w:type="pct"/>
          </w:tcPr>
          <w:p w14:paraId="6161BC63" w14:textId="77777777" w:rsidR="0035384C" w:rsidRPr="004F76B4" w:rsidRDefault="0035384C" w:rsidP="0035384C">
            <w:pPr>
              <w:rPr>
                <w:rFonts w:ascii="Cambria" w:eastAsia="Times New Roman" w:hAnsi="Cambria" w:cs="Calibri"/>
                <w:color w:val="000000"/>
              </w:rPr>
            </w:pPr>
          </w:p>
        </w:tc>
      </w:tr>
    </w:tbl>
    <w:p w14:paraId="750FB939" w14:textId="77777777" w:rsidR="0035384C" w:rsidRPr="004F76B4" w:rsidRDefault="0035384C" w:rsidP="0035384C">
      <w:pPr>
        <w:spacing w:after="0" w:line="240" w:lineRule="auto"/>
        <w:rPr>
          <w:rFonts w:ascii="Cambria" w:eastAsia="Times New Roman" w:hAnsi="Cambria" w:cs="Calibri"/>
          <w:color w:val="000000"/>
          <w:sz w:val="24"/>
          <w:szCs w:val="24"/>
        </w:rPr>
      </w:pPr>
    </w:p>
    <w:p w14:paraId="7741C766" w14:textId="1EF90F0E" w:rsidR="005B4E52" w:rsidRDefault="005B4E52">
      <w:pPr>
        <w:rPr>
          <w:rFonts w:ascii="Cambria" w:eastAsia="Times New Roman" w:hAnsi="Cambria" w:cs="Calibri"/>
          <w:color w:val="000000"/>
          <w:sz w:val="24"/>
          <w:szCs w:val="24"/>
        </w:rPr>
      </w:pPr>
    </w:p>
    <w:sectPr w:rsidR="005B4E52" w:rsidSect="004F7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1E0B"/>
    <w:multiLevelType w:val="hybridMultilevel"/>
    <w:tmpl w:val="43EE57B0"/>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E3973"/>
    <w:multiLevelType w:val="hybridMultilevel"/>
    <w:tmpl w:val="465CCCDC"/>
    <w:lvl w:ilvl="0" w:tplc="BAA61288">
      <w:start w:val="1"/>
      <w:numFmt w:val="decimal"/>
      <w:lvlText w:val="%1."/>
      <w:lvlJc w:val="left"/>
      <w:pPr>
        <w:ind w:left="720" w:hanging="360"/>
      </w:pPr>
    </w:lvl>
    <w:lvl w:ilvl="1" w:tplc="704A6058">
      <w:start w:val="1"/>
      <w:numFmt w:val="lowerLetter"/>
      <w:lvlText w:val="%2."/>
      <w:lvlJc w:val="left"/>
      <w:pPr>
        <w:ind w:left="1440" w:hanging="360"/>
      </w:pPr>
    </w:lvl>
    <w:lvl w:ilvl="2" w:tplc="8E40A8D4">
      <w:start w:val="1"/>
      <w:numFmt w:val="lowerRoman"/>
      <w:lvlText w:val="%3."/>
      <w:lvlJc w:val="right"/>
      <w:pPr>
        <w:ind w:left="2160" w:hanging="180"/>
      </w:pPr>
    </w:lvl>
    <w:lvl w:ilvl="3" w:tplc="42BA4B8C">
      <w:start w:val="1"/>
      <w:numFmt w:val="decimal"/>
      <w:lvlText w:val="%4."/>
      <w:lvlJc w:val="left"/>
      <w:pPr>
        <w:ind w:left="2880" w:hanging="360"/>
      </w:pPr>
    </w:lvl>
    <w:lvl w:ilvl="4" w:tplc="CCF09F10">
      <w:start w:val="1"/>
      <w:numFmt w:val="lowerLetter"/>
      <w:lvlText w:val="%5."/>
      <w:lvlJc w:val="left"/>
      <w:pPr>
        <w:ind w:left="3600" w:hanging="360"/>
      </w:pPr>
    </w:lvl>
    <w:lvl w:ilvl="5" w:tplc="C77A1100">
      <w:start w:val="1"/>
      <w:numFmt w:val="lowerRoman"/>
      <w:lvlText w:val="%6."/>
      <w:lvlJc w:val="right"/>
      <w:pPr>
        <w:ind w:left="4320" w:hanging="180"/>
      </w:pPr>
    </w:lvl>
    <w:lvl w:ilvl="6" w:tplc="9F0AB7AA">
      <w:start w:val="1"/>
      <w:numFmt w:val="decimal"/>
      <w:lvlText w:val="%7."/>
      <w:lvlJc w:val="left"/>
      <w:pPr>
        <w:ind w:left="5040" w:hanging="360"/>
      </w:pPr>
    </w:lvl>
    <w:lvl w:ilvl="7" w:tplc="A67424C8">
      <w:start w:val="1"/>
      <w:numFmt w:val="lowerLetter"/>
      <w:lvlText w:val="%8."/>
      <w:lvlJc w:val="left"/>
      <w:pPr>
        <w:ind w:left="5760" w:hanging="360"/>
      </w:pPr>
    </w:lvl>
    <w:lvl w:ilvl="8" w:tplc="8C68F3B6">
      <w:start w:val="1"/>
      <w:numFmt w:val="lowerRoman"/>
      <w:lvlText w:val="%9."/>
      <w:lvlJc w:val="right"/>
      <w:pPr>
        <w:ind w:left="6480" w:hanging="180"/>
      </w:pPr>
    </w:lvl>
  </w:abstractNum>
  <w:abstractNum w:abstractNumId="2" w15:restartNumberingAfterBreak="0">
    <w:nsid w:val="4A4210DF"/>
    <w:multiLevelType w:val="hybridMultilevel"/>
    <w:tmpl w:val="F63C0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80025"/>
    <w:multiLevelType w:val="hybridMultilevel"/>
    <w:tmpl w:val="939EAD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42254"/>
    <w:multiLevelType w:val="hybridMultilevel"/>
    <w:tmpl w:val="61FC7CF2"/>
    <w:lvl w:ilvl="0" w:tplc="E776461A">
      <w:start w:val="1"/>
      <w:numFmt w:val="bullet"/>
      <w:lvlText w:val=""/>
      <w:lvlJc w:val="left"/>
      <w:pPr>
        <w:ind w:left="720" w:hanging="360"/>
      </w:pPr>
      <w:rPr>
        <w:rFonts w:ascii="Symbol" w:hAnsi="Symbol" w:hint="default"/>
      </w:rPr>
    </w:lvl>
    <w:lvl w:ilvl="1" w:tplc="A59AB45E">
      <w:start w:val="1"/>
      <w:numFmt w:val="bullet"/>
      <w:lvlText w:val="o"/>
      <w:lvlJc w:val="left"/>
      <w:pPr>
        <w:ind w:left="1440" w:hanging="360"/>
      </w:pPr>
      <w:rPr>
        <w:rFonts w:ascii="Courier New" w:hAnsi="Courier New" w:hint="default"/>
      </w:rPr>
    </w:lvl>
    <w:lvl w:ilvl="2" w:tplc="16A05106">
      <w:start w:val="1"/>
      <w:numFmt w:val="bullet"/>
      <w:lvlText w:val=""/>
      <w:lvlJc w:val="left"/>
      <w:pPr>
        <w:ind w:left="2160" w:hanging="360"/>
      </w:pPr>
      <w:rPr>
        <w:rFonts w:ascii="Wingdings" w:hAnsi="Wingdings" w:hint="default"/>
      </w:rPr>
    </w:lvl>
    <w:lvl w:ilvl="3" w:tplc="BA2EEA8A">
      <w:start w:val="1"/>
      <w:numFmt w:val="bullet"/>
      <w:lvlText w:val=""/>
      <w:lvlJc w:val="left"/>
      <w:pPr>
        <w:ind w:left="2880" w:hanging="360"/>
      </w:pPr>
      <w:rPr>
        <w:rFonts w:ascii="Symbol" w:hAnsi="Symbol" w:hint="default"/>
      </w:rPr>
    </w:lvl>
    <w:lvl w:ilvl="4" w:tplc="43CA2298">
      <w:start w:val="1"/>
      <w:numFmt w:val="bullet"/>
      <w:lvlText w:val="o"/>
      <w:lvlJc w:val="left"/>
      <w:pPr>
        <w:ind w:left="3600" w:hanging="360"/>
      </w:pPr>
      <w:rPr>
        <w:rFonts w:ascii="Courier New" w:hAnsi="Courier New" w:hint="default"/>
      </w:rPr>
    </w:lvl>
    <w:lvl w:ilvl="5" w:tplc="922AE61E">
      <w:start w:val="1"/>
      <w:numFmt w:val="bullet"/>
      <w:lvlText w:val=""/>
      <w:lvlJc w:val="left"/>
      <w:pPr>
        <w:ind w:left="4320" w:hanging="360"/>
      </w:pPr>
      <w:rPr>
        <w:rFonts w:ascii="Wingdings" w:hAnsi="Wingdings" w:hint="default"/>
      </w:rPr>
    </w:lvl>
    <w:lvl w:ilvl="6" w:tplc="A2D8E6F2">
      <w:start w:val="1"/>
      <w:numFmt w:val="bullet"/>
      <w:lvlText w:val=""/>
      <w:lvlJc w:val="left"/>
      <w:pPr>
        <w:ind w:left="5040" w:hanging="360"/>
      </w:pPr>
      <w:rPr>
        <w:rFonts w:ascii="Symbol" w:hAnsi="Symbol" w:hint="default"/>
      </w:rPr>
    </w:lvl>
    <w:lvl w:ilvl="7" w:tplc="5642B56E">
      <w:start w:val="1"/>
      <w:numFmt w:val="bullet"/>
      <w:lvlText w:val="o"/>
      <w:lvlJc w:val="left"/>
      <w:pPr>
        <w:ind w:left="5760" w:hanging="360"/>
      </w:pPr>
      <w:rPr>
        <w:rFonts w:ascii="Courier New" w:hAnsi="Courier New" w:hint="default"/>
      </w:rPr>
    </w:lvl>
    <w:lvl w:ilvl="8" w:tplc="B0123E16">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4C"/>
    <w:rsid w:val="00006715"/>
    <w:rsid w:val="0035384C"/>
    <w:rsid w:val="004F76B4"/>
    <w:rsid w:val="005B4E52"/>
    <w:rsid w:val="008138DC"/>
    <w:rsid w:val="00834398"/>
    <w:rsid w:val="008717F9"/>
    <w:rsid w:val="00954B4F"/>
    <w:rsid w:val="00976F14"/>
    <w:rsid w:val="00C47D3E"/>
    <w:rsid w:val="0DFBB40F"/>
    <w:rsid w:val="0E24BA39"/>
    <w:rsid w:val="6E957BAD"/>
    <w:rsid w:val="7A25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81A"/>
  <w15:chartTrackingRefBased/>
  <w15:docId w15:val="{D44AA7B7-2994-4C3C-930E-1D136A69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84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F20E59636A40B02BD6C2469BB42E" ma:contentTypeVersion="11" ma:contentTypeDescription="Create a new document." ma:contentTypeScope="" ma:versionID="8b5bce6ed62f1d6ce860df9e684df1c3">
  <xsd:schema xmlns:xsd="http://www.w3.org/2001/XMLSchema" xmlns:xs="http://www.w3.org/2001/XMLSchema" xmlns:p="http://schemas.microsoft.com/office/2006/metadata/properties" xmlns:ns3="2004f0f5-2dea-4dde-825c-959a2f214ee4" xmlns:ns4="c93d5b51-04e0-4523-9810-e72ad1e8acb2" targetNamespace="http://schemas.microsoft.com/office/2006/metadata/properties" ma:root="true" ma:fieldsID="3af7fa96ce83930461931eccc07d089a" ns3:_="" ns4:_="">
    <xsd:import namespace="2004f0f5-2dea-4dde-825c-959a2f214ee4"/>
    <xsd:import namespace="c93d5b51-04e0-4523-9810-e72ad1e8ac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f0f5-2dea-4dde-825c-959a2f214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d5b51-04e0-4523-9810-e72ad1e8ac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63025-1D6B-4539-985B-A4EE5F2063FF}">
  <ds:schemaRefs>
    <ds:schemaRef ds:uri="http://purl.org/dc/elements/1.1/"/>
    <ds:schemaRef ds:uri="http://schemas.microsoft.com/office/infopath/2007/PartnerControls"/>
    <ds:schemaRef ds:uri="c93d5b51-04e0-4523-9810-e72ad1e8acb2"/>
    <ds:schemaRef ds:uri="http://purl.org/dc/terms/"/>
    <ds:schemaRef ds:uri="http://schemas.microsoft.com/office/2006/metadata/properties"/>
    <ds:schemaRef ds:uri="http://schemas.microsoft.com/office/2006/documentManagement/types"/>
    <ds:schemaRef ds:uri="2004f0f5-2dea-4dde-825c-959a2f214ee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4D7054-04F8-45E9-ACC7-26820247B04B}">
  <ds:schemaRefs>
    <ds:schemaRef ds:uri="http://schemas.microsoft.com/sharepoint/v3/contenttype/forms"/>
  </ds:schemaRefs>
</ds:datastoreItem>
</file>

<file path=customXml/itemProps3.xml><?xml version="1.0" encoding="utf-8"?>
<ds:datastoreItem xmlns:ds="http://schemas.openxmlformats.org/officeDocument/2006/customXml" ds:itemID="{5BD2AC64-23F9-421E-97D1-675DE636B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f0f5-2dea-4dde-825c-959a2f214ee4"/>
    <ds:schemaRef ds:uri="c93d5b51-04e0-4523-9810-e72ad1e8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Sama</dc:creator>
  <cp:keywords/>
  <dc:description/>
  <cp:lastModifiedBy>Sharon Conley Haas</cp:lastModifiedBy>
  <cp:revision>2</cp:revision>
  <dcterms:created xsi:type="dcterms:W3CDTF">2023-01-16T14:42:00Z</dcterms:created>
  <dcterms:modified xsi:type="dcterms:W3CDTF">2023-01-16T14:42:00Z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0x01010016A5F20E59636A40B02BD6C2469BB42E</vt:lpwstr>
  </property>
  <property fmtid="{D5CDD505-2E9C-101B-9397-08002B2CF9AE}" pid="3" name="MediaServiceImageTags">
    <vt:lpwstr/>
  </property>
</Properties>
</file>