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7EF0" w14:textId="779061CF" w:rsidR="00666771" w:rsidRPr="0030606E" w:rsidRDefault="00666771" w:rsidP="00666771">
      <w:pPr>
        <w:pStyle w:val="Head2"/>
        <w:rPr>
          <w:rFonts w:cs="Arial"/>
        </w:rPr>
      </w:pPr>
      <w:r w:rsidRPr="0030606E">
        <w:rPr>
          <w:rFonts w:cs="Arial"/>
        </w:rPr>
        <w:t>Vermont Integrative Genomics Resource</w:t>
      </w:r>
      <w:r w:rsidR="00D61C3D" w:rsidRPr="0030606E">
        <w:rPr>
          <w:rFonts w:cs="Arial"/>
        </w:rPr>
        <w:t xml:space="preserve"> (VIGR)</w:t>
      </w:r>
    </w:p>
    <w:p w14:paraId="0B1E58D6" w14:textId="3428DF64" w:rsidR="0005785E" w:rsidRPr="0030606E" w:rsidRDefault="0005785E" w:rsidP="007D0C23">
      <w:pPr>
        <w:pStyle w:val="Body"/>
        <w:spacing w:before="120"/>
        <w:rPr>
          <w:rFonts w:cs="Arial"/>
          <w:b/>
          <w:bCs/>
          <w:u w:val="single"/>
        </w:rPr>
      </w:pPr>
      <w:r w:rsidRPr="0030606E">
        <w:rPr>
          <w:rFonts w:cs="Arial"/>
          <w:b/>
          <w:bCs/>
          <w:u w:val="single"/>
        </w:rPr>
        <w:t>Overview</w:t>
      </w:r>
    </w:p>
    <w:p w14:paraId="730E2E59" w14:textId="3E0C3927" w:rsidR="00666771" w:rsidRPr="0030606E" w:rsidRDefault="00666771" w:rsidP="00666771">
      <w:pPr>
        <w:pStyle w:val="Body"/>
        <w:rPr>
          <w:rFonts w:cs="Arial"/>
        </w:rPr>
      </w:pPr>
      <w:r w:rsidRPr="0030606E">
        <w:rPr>
          <w:rFonts w:cs="Arial"/>
        </w:rPr>
        <w:t>The Vermont Integrative Genomics</w:t>
      </w:r>
      <w:r w:rsidR="00D61C3D" w:rsidRPr="0030606E">
        <w:rPr>
          <w:rFonts w:cs="Arial"/>
        </w:rPr>
        <w:t xml:space="preserve"> </w:t>
      </w:r>
      <w:r w:rsidR="00420A6C" w:rsidRPr="0030606E">
        <w:rPr>
          <w:rFonts w:cs="Arial"/>
        </w:rPr>
        <w:t>Resource</w:t>
      </w:r>
      <w:r w:rsidR="009E61B8" w:rsidRPr="0030606E">
        <w:rPr>
          <w:rFonts w:cs="Arial"/>
        </w:rPr>
        <w:t xml:space="preserve"> </w:t>
      </w:r>
      <w:r w:rsidR="00D36BF2" w:rsidRPr="0030606E">
        <w:rPr>
          <w:rFonts w:cs="Arial"/>
        </w:rPr>
        <w:t>is a multi-faceted facility that offer</w:t>
      </w:r>
      <w:r w:rsidR="001E589D" w:rsidRPr="0030606E">
        <w:rPr>
          <w:rFonts w:cs="Arial"/>
        </w:rPr>
        <w:t>s</w:t>
      </w:r>
      <w:r w:rsidR="00D36BF2" w:rsidRPr="0030606E">
        <w:rPr>
          <w:rFonts w:cs="Arial"/>
        </w:rPr>
        <w:t xml:space="preserve"> a full range of genomics </w:t>
      </w:r>
      <w:r w:rsidR="00420A6C" w:rsidRPr="0030606E">
        <w:rPr>
          <w:rFonts w:cs="Arial"/>
        </w:rPr>
        <w:t xml:space="preserve">and bioinformatics </w:t>
      </w:r>
      <w:r w:rsidR="00D36BF2" w:rsidRPr="0030606E">
        <w:rPr>
          <w:rFonts w:cs="Arial"/>
        </w:rPr>
        <w:t>services. The facilities primary goals include consultation for</w:t>
      </w:r>
      <w:r w:rsidRPr="0030606E">
        <w:rPr>
          <w:rFonts w:cs="Arial"/>
        </w:rPr>
        <w:t xml:space="preserve"> experimental design</w:t>
      </w:r>
      <w:r w:rsidR="00D61C3D" w:rsidRPr="0030606E">
        <w:rPr>
          <w:rFonts w:cs="Arial"/>
        </w:rPr>
        <w:t xml:space="preserve">, </w:t>
      </w:r>
      <w:r w:rsidRPr="0030606E">
        <w:rPr>
          <w:rFonts w:cs="Arial"/>
        </w:rPr>
        <w:t>data generation</w:t>
      </w:r>
      <w:r w:rsidR="00D36BF2" w:rsidRPr="0030606E">
        <w:rPr>
          <w:rFonts w:cs="Arial"/>
        </w:rPr>
        <w:t xml:space="preserve">, </w:t>
      </w:r>
      <w:r w:rsidR="00C70FAE" w:rsidRPr="0030606E">
        <w:rPr>
          <w:rFonts w:cs="Arial"/>
        </w:rPr>
        <w:t>troubleshooting assays, full service to bioinformatics analyses, and support for data management and publication</w:t>
      </w:r>
      <w:r w:rsidR="00D36BF2" w:rsidRPr="0030606E">
        <w:rPr>
          <w:rFonts w:cs="Arial"/>
        </w:rPr>
        <w:t xml:space="preserve">. </w:t>
      </w:r>
      <w:r w:rsidR="00FD70D5" w:rsidRPr="0030606E">
        <w:rPr>
          <w:rFonts w:cs="Arial"/>
        </w:rPr>
        <w:t>VIGR</w:t>
      </w:r>
      <w:r w:rsidR="00396D0E" w:rsidRPr="0030606E">
        <w:rPr>
          <w:rFonts w:cs="Arial"/>
        </w:rPr>
        <w:t xml:space="preserve"> employs </w:t>
      </w:r>
      <w:r w:rsidR="00D36BF2" w:rsidRPr="0030606E">
        <w:rPr>
          <w:rFonts w:cs="Arial"/>
        </w:rPr>
        <w:t>three</w:t>
      </w:r>
      <w:r w:rsidR="00396D0E" w:rsidRPr="0030606E">
        <w:rPr>
          <w:rFonts w:cs="Arial"/>
        </w:rPr>
        <w:t xml:space="preserve"> full time</w:t>
      </w:r>
      <w:r w:rsidRPr="0030606E">
        <w:rPr>
          <w:rFonts w:cs="Arial"/>
        </w:rPr>
        <w:t xml:space="preserve"> </w:t>
      </w:r>
      <w:r w:rsidR="00D61C3D" w:rsidRPr="0030606E">
        <w:rPr>
          <w:rFonts w:cs="Arial"/>
        </w:rPr>
        <w:t xml:space="preserve">dedicated analytical </w:t>
      </w:r>
      <w:r w:rsidRPr="0030606E">
        <w:rPr>
          <w:rFonts w:cs="Arial"/>
        </w:rPr>
        <w:t>staff</w:t>
      </w:r>
      <w:r w:rsidR="00396D0E" w:rsidRPr="0030606E">
        <w:rPr>
          <w:rFonts w:cs="Arial"/>
        </w:rPr>
        <w:t xml:space="preserve"> </w:t>
      </w:r>
      <w:r w:rsidR="00D36BF2" w:rsidRPr="0030606E">
        <w:rPr>
          <w:rFonts w:cs="Arial"/>
        </w:rPr>
        <w:t xml:space="preserve">and </w:t>
      </w:r>
      <w:r w:rsidR="005D2307" w:rsidRPr="0030606E">
        <w:rPr>
          <w:rFonts w:cs="Arial"/>
        </w:rPr>
        <w:t>three</w:t>
      </w:r>
      <w:r w:rsidR="00D36BF2" w:rsidRPr="0030606E">
        <w:rPr>
          <w:rFonts w:cs="Arial"/>
        </w:rPr>
        <w:t xml:space="preserve"> full time bioinformatics staff </w:t>
      </w:r>
      <w:r w:rsidR="00396D0E" w:rsidRPr="0030606E">
        <w:rPr>
          <w:rFonts w:cs="Arial"/>
        </w:rPr>
        <w:t>that</w:t>
      </w:r>
      <w:r w:rsidRPr="0030606E">
        <w:rPr>
          <w:rFonts w:cs="Arial"/>
        </w:rPr>
        <w:t xml:space="preserve"> have over 30 years of combined experience</w:t>
      </w:r>
      <w:r w:rsidR="00396D0E" w:rsidRPr="0030606E">
        <w:rPr>
          <w:rFonts w:cs="Arial"/>
        </w:rPr>
        <w:t xml:space="preserve"> in advanced genomics, </w:t>
      </w:r>
      <w:r w:rsidR="00420A6C" w:rsidRPr="0030606E">
        <w:rPr>
          <w:rFonts w:cs="Arial"/>
        </w:rPr>
        <w:t xml:space="preserve">molecular and </w:t>
      </w:r>
      <w:r w:rsidR="00396D0E" w:rsidRPr="0030606E">
        <w:rPr>
          <w:rFonts w:cs="Arial"/>
        </w:rPr>
        <w:t xml:space="preserve">microbiology, and </w:t>
      </w:r>
      <w:r w:rsidR="00420A6C" w:rsidRPr="0030606E">
        <w:rPr>
          <w:rFonts w:cs="Arial"/>
        </w:rPr>
        <w:t>bioinformatics</w:t>
      </w:r>
      <w:r w:rsidR="00396D0E" w:rsidRPr="0030606E">
        <w:rPr>
          <w:rFonts w:cs="Arial"/>
        </w:rPr>
        <w:t xml:space="preserve"> analysis</w:t>
      </w:r>
      <w:r w:rsidR="00420A6C" w:rsidRPr="0030606E">
        <w:rPr>
          <w:rFonts w:cs="Arial"/>
        </w:rPr>
        <w:t>,</w:t>
      </w:r>
      <w:r w:rsidR="00396D0E" w:rsidRPr="0030606E">
        <w:rPr>
          <w:rFonts w:cs="Arial"/>
        </w:rPr>
        <w:t xml:space="preserve"> with over </w:t>
      </w:r>
      <w:r w:rsidR="00FC68E1" w:rsidRPr="0030606E">
        <w:rPr>
          <w:rFonts w:cs="Arial"/>
        </w:rPr>
        <w:t>5</w:t>
      </w:r>
      <w:r w:rsidR="00396D0E" w:rsidRPr="0030606E">
        <w:rPr>
          <w:rFonts w:cs="Arial"/>
        </w:rPr>
        <w:t>0 publications</w:t>
      </w:r>
      <w:r w:rsidR="00D36BF2" w:rsidRPr="0030606E">
        <w:rPr>
          <w:rFonts w:cs="Arial"/>
        </w:rPr>
        <w:t xml:space="preserve"> </w:t>
      </w:r>
      <w:r w:rsidR="00FD70D5" w:rsidRPr="0030606E">
        <w:rPr>
          <w:rFonts w:cs="Arial"/>
        </w:rPr>
        <w:t xml:space="preserve">and </w:t>
      </w:r>
      <w:proofErr w:type="gramStart"/>
      <w:r w:rsidR="00FD70D5" w:rsidRPr="0030606E">
        <w:rPr>
          <w:rFonts w:cs="Arial"/>
        </w:rPr>
        <w:t xml:space="preserve">numerous </w:t>
      </w:r>
      <w:r w:rsidR="00D36BF2" w:rsidRPr="0030606E">
        <w:rPr>
          <w:rFonts w:cs="Arial"/>
        </w:rPr>
        <w:t xml:space="preserve"> national</w:t>
      </w:r>
      <w:proofErr w:type="gramEnd"/>
      <w:r w:rsidR="00D36BF2" w:rsidRPr="0030606E">
        <w:rPr>
          <w:rFonts w:cs="Arial"/>
        </w:rPr>
        <w:t xml:space="preserve"> and </w:t>
      </w:r>
      <w:r w:rsidR="00396D0E" w:rsidRPr="0030606E">
        <w:rPr>
          <w:rFonts w:cs="Arial"/>
        </w:rPr>
        <w:t>internationals presentations</w:t>
      </w:r>
      <w:r w:rsidR="00FD70D5" w:rsidRPr="0030606E">
        <w:rPr>
          <w:rFonts w:cs="Arial"/>
        </w:rPr>
        <w:t>.</w:t>
      </w:r>
    </w:p>
    <w:p w14:paraId="25F89A95" w14:textId="77777777" w:rsidR="0005785E" w:rsidRPr="0030606E" w:rsidRDefault="0005785E" w:rsidP="0005785E">
      <w:pPr>
        <w:pStyle w:val="Body"/>
        <w:rPr>
          <w:rFonts w:cs="Arial"/>
          <w:b/>
          <w:bCs/>
          <w:u w:val="single"/>
        </w:rPr>
      </w:pPr>
      <w:r w:rsidRPr="0030606E">
        <w:rPr>
          <w:rFonts w:cs="Arial"/>
          <w:b/>
          <w:bCs/>
          <w:u w:val="single"/>
        </w:rPr>
        <w:t xml:space="preserve">Personnel </w:t>
      </w:r>
    </w:p>
    <w:tbl>
      <w:tblPr>
        <w:tblStyle w:val="TableGrid"/>
        <w:tblW w:w="0" w:type="auto"/>
        <w:jc w:val="center"/>
        <w:tblLook w:val="04A0" w:firstRow="1" w:lastRow="0" w:firstColumn="1" w:lastColumn="0" w:noHBand="0" w:noVBand="1"/>
      </w:tblPr>
      <w:tblGrid>
        <w:gridCol w:w="3116"/>
        <w:gridCol w:w="2819"/>
        <w:gridCol w:w="3415"/>
      </w:tblGrid>
      <w:tr w:rsidR="0005785E" w:rsidRPr="0030606E" w14:paraId="667E5FFC" w14:textId="77777777" w:rsidTr="0005785E">
        <w:trPr>
          <w:jc w:val="center"/>
        </w:trPr>
        <w:tc>
          <w:tcPr>
            <w:tcW w:w="3116" w:type="dxa"/>
          </w:tcPr>
          <w:p w14:paraId="2CAE8244" w14:textId="77777777" w:rsidR="0005785E" w:rsidRPr="0030606E" w:rsidRDefault="0005785E" w:rsidP="0005785E">
            <w:pPr>
              <w:jc w:val="center"/>
              <w:rPr>
                <w:rFonts w:ascii="Arial" w:hAnsi="Arial" w:cs="Arial"/>
                <w:b/>
                <w:bCs/>
                <w:sz w:val="22"/>
                <w:szCs w:val="22"/>
              </w:rPr>
            </w:pPr>
          </w:p>
        </w:tc>
        <w:tc>
          <w:tcPr>
            <w:tcW w:w="2819" w:type="dxa"/>
          </w:tcPr>
          <w:p w14:paraId="3DC830B0" w14:textId="0AC8EE42" w:rsidR="0005785E" w:rsidRPr="0030606E" w:rsidRDefault="0005785E" w:rsidP="0005785E">
            <w:pPr>
              <w:jc w:val="center"/>
              <w:rPr>
                <w:rFonts w:ascii="Arial" w:hAnsi="Arial" w:cs="Arial"/>
                <w:b/>
                <w:bCs/>
                <w:sz w:val="22"/>
                <w:szCs w:val="22"/>
              </w:rPr>
            </w:pPr>
            <w:r w:rsidRPr="0030606E">
              <w:rPr>
                <w:rFonts w:ascii="Arial" w:hAnsi="Arial" w:cs="Arial"/>
                <w:b/>
                <w:bCs/>
                <w:sz w:val="22"/>
                <w:szCs w:val="22"/>
              </w:rPr>
              <w:t>Julie A. Dragon, Ph.D., Director</w:t>
            </w:r>
          </w:p>
        </w:tc>
        <w:tc>
          <w:tcPr>
            <w:tcW w:w="3415" w:type="dxa"/>
          </w:tcPr>
          <w:p w14:paraId="44009C70" w14:textId="77777777" w:rsidR="0005785E" w:rsidRPr="0030606E" w:rsidRDefault="0005785E" w:rsidP="0005785E">
            <w:pPr>
              <w:jc w:val="center"/>
              <w:rPr>
                <w:rFonts w:ascii="Arial" w:hAnsi="Arial" w:cs="Arial"/>
                <w:b/>
                <w:bCs/>
                <w:sz w:val="22"/>
                <w:szCs w:val="22"/>
              </w:rPr>
            </w:pPr>
          </w:p>
        </w:tc>
      </w:tr>
      <w:tr w:rsidR="0005785E" w:rsidRPr="0030606E" w14:paraId="63CEC0E3" w14:textId="77777777" w:rsidTr="0005785E">
        <w:trPr>
          <w:jc w:val="center"/>
        </w:trPr>
        <w:tc>
          <w:tcPr>
            <w:tcW w:w="3116" w:type="dxa"/>
          </w:tcPr>
          <w:p w14:paraId="19352496" w14:textId="628D1442" w:rsidR="0005785E" w:rsidRPr="0030606E" w:rsidRDefault="0005785E" w:rsidP="0005785E">
            <w:pPr>
              <w:jc w:val="center"/>
              <w:rPr>
                <w:rFonts w:ascii="Arial" w:hAnsi="Arial" w:cs="Arial"/>
                <w:b/>
                <w:bCs/>
                <w:sz w:val="22"/>
                <w:szCs w:val="22"/>
              </w:rPr>
            </w:pPr>
            <w:r w:rsidRPr="0030606E">
              <w:rPr>
                <w:rFonts w:ascii="Arial" w:hAnsi="Arial" w:cs="Arial"/>
                <w:b/>
                <w:bCs/>
                <w:sz w:val="22"/>
                <w:szCs w:val="22"/>
              </w:rPr>
              <w:t>Wet lab</w:t>
            </w:r>
            <w:r w:rsidR="007E7C59" w:rsidRPr="0030606E">
              <w:rPr>
                <w:rFonts w:ascii="Arial" w:hAnsi="Arial" w:cs="Arial"/>
                <w:b/>
                <w:bCs/>
                <w:sz w:val="22"/>
                <w:szCs w:val="22"/>
              </w:rPr>
              <w:t xml:space="preserve"> </w:t>
            </w:r>
          </w:p>
        </w:tc>
        <w:tc>
          <w:tcPr>
            <w:tcW w:w="2819" w:type="dxa"/>
          </w:tcPr>
          <w:p w14:paraId="26C94065" w14:textId="77777777" w:rsidR="0005785E" w:rsidRPr="0030606E" w:rsidRDefault="0005785E" w:rsidP="0005785E">
            <w:pPr>
              <w:jc w:val="center"/>
              <w:rPr>
                <w:rFonts w:ascii="Arial" w:hAnsi="Arial" w:cs="Arial"/>
                <w:b/>
                <w:bCs/>
                <w:sz w:val="22"/>
                <w:szCs w:val="22"/>
              </w:rPr>
            </w:pPr>
          </w:p>
        </w:tc>
        <w:tc>
          <w:tcPr>
            <w:tcW w:w="3415" w:type="dxa"/>
          </w:tcPr>
          <w:p w14:paraId="11B83B7C" w14:textId="6E15F15F" w:rsidR="0005785E" w:rsidRPr="0030606E" w:rsidRDefault="0005785E" w:rsidP="0005785E">
            <w:pPr>
              <w:jc w:val="center"/>
              <w:rPr>
                <w:rFonts w:ascii="Arial" w:hAnsi="Arial" w:cs="Arial"/>
                <w:b/>
                <w:bCs/>
                <w:sz w:val="22"/>
                <w:szCs w:val="22"/>
              </w:rPr>
            </w:pPr>
            <w:r w:rsidRPr="0030606E">
              <w:rPr>
                <w:rFonts w:ascii="Arial" w:hAnsi="Arial" w:cs="Arial"/>
                <w:b/>
                <w:bCs/>
                <w:sz w:val="22"/>
                <w:szCs w:val="22"/>
              </w:rPr>
              <w:t>Dry lab</w:t>
            </w:r>
          </w:p>
        </w:tc>
      </w:tr>
      <w:tr w:rsidR="0005785E" w:rsidRPr="0030606E" w14:paraId="48383638" w14:textId="77777777" w:rsidTr="0005785E">
        <w:trPr>
          <w:jc w:val="center"/>
        </w:trPr>
        <w:tc>
          <w:tcPr>
            <w:tcW w:w="3116" w:type="dxa"/>
          </w:tcPr>
          <w:p w14:paraId="0DCAB130" w14:textId="7B40A5C4" w:rsidR="0005785E" w:rsidRPr="0030606E" w:rsidRDefault="0005785E" w:rsidP="0005785E">
            <w:pPr>
              <w:jc w:val="center"/>
              <w:rPr>
                <w:rFonts w:ascii="Arial" w:hAnsi="Arial" w:cs="Arial"/>
                <w:sz w:val="22"/>
                <w:szCs w:val="22"/>
              </w:rPr>
            </w:pPr>
            <w:r w:rsidRPr="0030606E">
              <w:rPr>
                <w:rFonts w:ascii="Arial" w:hAnsi="Arial" w:cs="Arial"/>
                <w:sz w:val="22"/>
                <w:szCs w:val="22"/>
              </w:rPr>
              <w:t>Scott Tighe, B.S.</w:t>
            </w:r>
          </w:p>
        </w:tc>
        <w:tc>
          <w:tcPr>
            <w:tcW w:w="2819" w:type="dxa"/>
          </w:tcPr>
          <w:p w14:paraId="33FC476B" w14:textId="77777777" w:rsidR="0005785E" w:rsidRPr="0030606E" w:rsidRDefault="0005785E" w:rsidP="0005785E">
            <w:pPr>
              <w:jc w:val="center"/>
              <w:rPr>
                <w:rFonts w:ascii="Arial" w:hAnsi="Arial" w:cs="Arial"/>
                <w:sz w:val="22"/>
                <w:szCs w:val="22"/>
              </w:rPr>
            </w:pPr>
          </w:p>
        </w:tc>
        <w:tc>
          <w:tcPr>
            <w:tcW w:w="3415" w:type="dxa"/>
          </w:tcPr>
          <w:p w14:paraId="704CAA8F" w14:textId="360900B4" w:rsidR="0005785E" w:rsidRPr="0030606E" w:rsidRDefault="0005785E" w:rsidP="0005785E">
            <w:pPr>
              <w:jc w:val="center"/>
              <w:rPr>
                <w:rFonts w:ascii="Arial" w:hAnsi="Arial" w:cs="Arial"/>
                <w:sz w:val="22"/>
                <w:szCs w:val="22"/>
              </w:rPr>
            </w:pPr>
            <w:proofErr w:type="spellStart"/>
            <w:r w:rsidRPr="0030606E">
              <w:rPr>
                <w:rFonts w:ascii="Arial" w:hAnsi="Arial" w:cs="Arial"/>
                <w:sz w:val="22"/>
                <w:szCs w:val="22"/>
              </w:rPr>
              <w:t>Korin</w:t>
            </w:r>
            <w:proofErr w:type="spellEnd"/>
            <w:r w:rsidRPr="0030606E">
              <w:rPr>
                <w:rFonts w:ascii="Arial" w:hAnsi="Arial" w:cs="Arial"/>
                <w:sz w:val="22"/>
                <w:szCs w:val="22"/>
              </w:rPr>
              <w:t xml:space="preserve"> </w:t>
            </w:r>
            <w:proofErr w:type="spellStart"/>
            <w:r w:rsidRPr="0030606E">
              <w:rPr>
                <w:rFonts w:ascii="Arial" w:hAnsi="Arial" w:cs="Arial"/>
                <w:sz w:val="22"/>
                <w:szCs w:val="22"/>
              </w:rPr>
              <w:t>Eckstrom</w:t>
            </w:r>
            <w:proofErr w:type="spellEnd"/>
            <w:r w:rsidRPr="0030606E">
              <w:rPr>
                <w:rFonts w:ascii="Arial" w:hAnsi="Arial" w:cs="Arial"/>
                <w:sz w:val="22"/>
                <w:szCs w:val="22"/>
              </w:rPr>
              <w:t>, M.S.</w:t>
            </w:r>
          </w:p>
        </w:tc>
      </w:tr>
      <w:tr w:rsidR="0005785E" w:rsidRPr="0030606E" w14:paraId="0AD7746E" w14:textId="77777777" w:rsidTr="0005785E">
        <w:trPr>
          <w:jc w:val="center"/>
        </w:trPr>
        <w:tc>
          <w:tcPr>
            <w:tcW w:w="3116" w:type="dxa"/>
          </w:tcPr>
          <w:p w14:paraId="2F84EF5E" w14:textId="7E86073A" w:rsidR="0005785E" w:rsidRPr="0030606E" w:rsidRDefault="0005785E" w:rsidP="0005785E">
            <w:pPr>
              <w:jc w:val="center"/>
              <w:rPr>
                <w:rFonts w:ascii="Arial" w:hAnsi="Arial" w:cs="Arial"/>
                <w:sz w:val="22"/>
                <w:szCs w:val="22"/>
              </w:rPr>
            </w:pPr>
            <w:r w:rsidRPr="0030606E">
              <w:rPr>
                <w:rFonts w:ascii="Arial" w:hAnsi="Arial" w:cs="Arial"/>
                <w:sz w:val="22"/>
                <w:szCs w:val="22"/>
              </w:rPr>
              <w:t>Jess Hoffman, B.S.</w:t>
            </w:r>
          </w:p>
        </w:tc>
        <w:tc>
          <w:tcPr>
            <w:tcW w:w="2819" w:type="dxa"/>
          </w:tcPr>
          <w:p w14:paraId="19DFA7A4" w14:textId="77777777" w:rsidR="0005785E" w:rsidRPr="0030606E" w:rsidRDefault="0005785E" w:rsidP="0005785E">
            <w:pPr>
              <w:jc w:val="center"/>
              <w:rPr>
                <w:rFonts w:ascii="Arial" w:hAnsi="Arial" w:cs="Arial"/>
                <w:sz w:val="22"/>
                <w:szCs w:val="22"/>
              </w:rPr>
            </w:pPr>
          </w:p>
        </w:tc>
        <w:tc>
          <w:tcPr>
            <w:tcW w:w="3415" w:type="dxa"/>
          </w:tcPr>
          <w:p w14:paraId="342F04C9" w14:textId="2E25493C" w:rsidR="0005785E" w:rsidRPr="0030606E" w:rsidRDefault="0005785E" w:rsidP="0005785E">
            <w:pPr>
              <w:jc w:val="center"/>
              <w:rPr>
                <w:rFonts w:ascii="Arial" w:hAnsi="Arial" w:cs="Arial"/>
                <w:sz w:val="22"/>
                <w:szCs w:val="22"/>
              </w:rPr>
            </w:pPr>
            <w:r w:rsidRPr="0030606E">
              <w:rPr>
                <w:rFonts w:ascii="Arial" w:hAnsi="Arial" w:cs="Arial"/>
                <w:sz w:val="22"/>
                <w:szCs w:val="22"/>
              </w:rPr>
              <w:t>John Hanley, Ph.D. (0.5 FTE</w:t>
            </w:r>
            <w:r w:rsidR="00C05675" w:rsidRPr="0030606E">
              <w:rPr>
                <w:rFonts w:ascii="Arial" w:hAnsi="Arial" w:cs="Arial"/>
                <w:sz w:val="22"/>
                <w:szCs w:val="22"/>
              </w:rPr>
              <w:t>)</w:t>
            </w:r>
          </w:p>
        </w:tc>
      </w:tr>
      <w:tr w:rsidR="0005785E" w:rsidRPr="0030606E" w14:paraId="6DF5AA93" w14:textId="77777777" w:rsidTr="0005785E">
        <w:trPr>
          <w:jc w:val="center"/>
        </w:trPr>
        <w:tc>
          <w:tcPr>
            <w:tcW w:w="3116" w:type="dxa"/>
          </w:tcPr>
          <w:p w14:paraId="069A5889" w14:textId="5D2A74B9" w:rsidR="0005785E" w:rsidRPr="0030606E" w:rsidRDefault="0005785E" w:rsidP="0005785E">
            <w:pPr>
              <w:jc w:val="center"/>
              <w:rPr>
                <w:rFonts w:ascii="Arial" w:hAnsi="Arial" w:cs="Arial"/>
                <w:sz w:val="22"/>
                <w:szCs w:val="22"/>
              </w:rPr>
            </w:pPr>
            <w:r w:rsidRPr="0030606E">
              <w:rPr>
                <w:rFonts w:ascii="Arial" w:hAnsi="Arial" w:cs="Arial"/>
                <w:sz w:val="22"/>
                <w:szCs w:val="22"/>
              </w:rPr>
              <w:t xml:space="preserve">Pheobe Kehoe, </w:t>
            </w:r>
            <w:r w:rsidR="005B0BC7" w:rsidRPr="0030606E">
              <w:rPr>
                <w:rFonts w:ascii="Arial" w:hAnsi="Arial" w:cs="Arial"/>
                <w:sz w:val="22"/>
                <w:szCs w:val="22"/>
              </w:rPr>
              <w:t>M</w:t>
            </w:r>
            <w:r w:rsidRPr="0030606E">
              <w:rPr>
                <w:rFonts w:ascii="Arial" w:hAnsi="Arial" w:cs="Arial"/>
                <w:sz w:val="22"/>
                <w:szCs w:val="22"/>
              </w:rPr>
              <w:t>.S.</w:t>
            </w:r>
          </w:p>
        </w:tc>
        <w:tc>
          <w:tcPr>
            <w:tcW w:w="2819" w:type="dxa"/>
          </w:tcPr>
          <w:p w14:paraId="6A433890" w14:textId="77777777" w:rsidR="0005785E" w:rsidRPr="0030606E" w:rsidRDefault="0005785E" w:rsidP="0005785E">
            <w:pPr>
              <w:jc w:val="center"/>
              <w:rPr>
                <w:rFonts w:ascii="Arial" w:hAnsi="Arial" w:cs="Arial"/>
                <w:sz w:val="22"/>
                <w:szCs w:val="22"/>
              </w:rPr>
            </w:pPr>
          </w:p>
        </w:tc>
        <w:tc>
          <w:tcPr>
            <w:tcW w:w="3415" w:type="dxa"/>
          </w:tcPr>
          <w:p w14:paraId="2FDDE061" w14:textId="71E247C5" w:rsidR="0005785E" w:rsidRPr="0030606E" w:rsidRDefault="0005785E" w:rsidP="0005785E">
            <w:pPr>
              <w:jc w:val="center"/>
              <w:rPr>
                <w:rFonts w:ascii="Arial" w:hAnsi="Arial" w:cs="Arial"/>
                <w:sz w:val="22"/>
                <w:szCs w:val="22"/>
              </w:rPr>
            </w:pPr>
            <w:r w:rsidRPr="0030606E">
              <w:rPr>
                <w:rFonts w:ascii="Arial" w:hAnsi="Arial" w:cs="Arial"/>
                <w:sz w:val="22"/>
                <w:szCs w:val="22"/>
              </w:rPr>
              <w:t xml:space="preserve">Ramiro </w:t>
            </w:r>
            <w:proofErr w:type="spellStart"/>
            <w:r w:rsidRPr="0030606E">
              <w:rPr>
                <w:rFonts w:ascii="Arial" w:hAnsi="Arial" w:cs="Arial"/>
                <w:sz w:val="22"/>
                <w:szCs w:val="22"/>
              </w:rPr>
              <w:t>Barrantes</w:t>
            </w:r>
            <w:proofErr w:type="spellEnd"/>
            <w:r w:rsidRPr="0030606E">
              <w:rPr>
                <w:rFonts w:ascii="Arial" w:hAnsi="Arial" w:cs="Arial"/>
                <w:sz w:val="22"/>
                <w:szCs w:val="22"/>
              </w:rPr>
              <w:t>, Ph.D. (0.3 FTE)</w:t>
            </w:r>
          </w:p>
        </w:tc>
      </w:tr>
      <w:tr w:rsidR="0005785E" w:rsidRPr="0030606E" w14:paraId="67FA9B96" w14:textId="77777777" w:rsidTr="0005785E">
        <w:trPr>
          <w:jc w:val="center"/>
        </w:trPr>
        <w:tc>
          <w:tcPr>
            <w:tcW w:w="3116" w:type="dxa"/>
          </w:tcPr>
          <w:p w14:paraId="7A8373A8" w14:textId="3DE9F357" w:rsidR="0005785E" w:rsidRPr="0030606E" w:rsidRDefault="00DA181E" w:rsidP="0005785E">
            <w:pPr>
              <w:jc w:val="center"/>
              <w:rPr>
                <w:rFonts w:ascii="Arial" w:hAnsi="Arial" w:cs="Arial"/>
                <w:sz w:val="22"/>
                <w:szCs w:val="22"/>
              </w:rPr>
            </w:pPr>
            <w:r w:rsidRPr="0030606E">
              <w:rPr>
                <w:rFonts w:ascii="Arial" w:hAnsi="Arial" w:cs="Arial"/>
                <w:sz w:val="22"/>
                <w:szCs w:val="22"/>
              </w:rPr>
              <w:t>Lab Tech, TBN</w:t>
            </w:r>
            <w:r w:rsidR="007E7C59" w:rsidRPr="0030606E">
              <w:rPr>
                <w:rFonts w:ascii="Arial" w:hAnsi="Arial" w:cs="Arial"/>
                <w:sz w:val="22"/>
                <w:szCs w:val="22"/>
              </w:rPr>
              <w:t xml:space="preserve"> </w:t>
            </w:r>
          </w:p>
        </w:tc>
        <w:tc>
          <w:tcPr>
            <w:tcW w:w="2819" w:type="dxa"/>
          </w:tcPr>
          <w:p w14:paraId="1FF9001D" w14:textId="77777777" w:rsidR="0005785E" w:rsidRPr="0030606E" w:rsidRDefault="0005785E" w:rsidP="0005785E">
            <w:pPr>
              <w:jc w:val="center"/>
              <w:rPr>
                <w:rFonts w:ascii="Arial" w:hAnsi="Arial" w:cs="Arial"/>
                <w:sz w:val="22"/>
                <w:szCs w:val="22"/>
              </w:rPr>
            </w:pPr>
          </w:p>
        </w:tc>
        <w:tc>
          <w:tcPr>
            <w:tcW w:w="3415" w:type="dxa"/>
          </w:tcPr>
          <w:p w14:paraId="2E860F02" w14:textId="10E84336" w:rsidR="0005785E" w:rsidRPr="0030606E" w:rsidRDefault="0005785E" w:rsidP="0005785E">
            <w:pPr>
              <w:jc w:val="center"/>
              <w:rPr>
                <w:rFonts w:ascii="Arial" w:hAnsi="Arial" w:cs="Arial"/>
                <w:sz w:val="22"/>
                <w:szCs w:val="22"/>
              </w:rPr>
            </w:pPr>
            <w:r w:rsidRPr="0030606E">
              <w:rPr>
                <w:rFonts w:ascii="Arial" w:hAnsi="Arial" w:cs="Arial"/>
                <w:sz w:val="22"/>
                <w:szCs w:val="22"/>
              </w:rPr>
              <w:t xml:space="preserve">Marni </w:t>
            </w:r>
            <w:proofErr w:type="spellStart"/>
            <w:r w:rsidRPr="0030606E">
              <w:rPr>
                <w:rFonts w:ascii="Arial" w:hAnsi="Arial" w:cs="Arial"/>
                <w:sz w:val="22"/>
                <w:szCs w:val="22"/>
              </w:rPr>
              <w:t>Slavik</w:t>
            </w:r>
            <w:proofErr w:type="spellEnd"/>
            <w:r w:rsidRPr="0030606E">
              <w:rPr>
                <w:rFonts w:ascii="Arial" w:hAnsi="Arial" w:cs="Arial"/>
                <w:sz w:val="22"/>
                <w:szCs w:val="22"/>
              </w:rPr>
              <w:t>, Ph.D. (0.2 FTE)</w:t>
            </w:r>
          </w:p>
        </w:tc>
      </w:tr>
    </w:tbl>
    <w:p w14:paraId="1F0ECBD5" w14:textId="4BB818FA" w:rsidR="0005785E" w:rsidRPr="0030606E" w:rsidRDefault="0005785E" w:rsidP="00582347">
      <w:pPr>
        <w:pStyle w:val="Body"/>
        <w:spacing w:before="120" w:after="0"/>
        <w:rPr>
          <w:rFonts w:cs="Arial"/>
          <w:b/>
          <w:bCs/>
          <w:u w:val="single"/>
        </w:rPr>
      </w:pPr>
      <w:r w:rsidRPr="0030606E">
        <w:rPr>
          <w:rFonts w:cs="Arial"/>
          <w:b/>
          <w:bCs/>
          <w:u w:val="single"/>
        </w:rPr>
        <w:t>Facilities and equipment</w:t>
      </w:r>
    </w:p>
    <w:p w14:paraId="02150B31" w14:textId="4EF49D1F" w:rsidR="00666771" w:rsidRPr="0030606E" w:rsidRDefault="00666771" w:rsidP="00666771">
      <w:pPr>
        <w:pStyle w:val="Body"/>
        <w:rPr>
          <w:rFonts w:cs="Arial"/>
        </w:rPr>
      </w:pPr>
      <w:r w:rsidRPr="0030606E">
        <w:rPr>
          <w:rFonts w:cs="Arial"/>
        </w:rPr>
        <w:t xml:space="preserve">The </w:t>
      </w:r>
      <w:r w:rsidR="00D61C3D" w:rsidRPr="0030606E">
        <w:rPr>
          <w:rFonts w:cs="Arial"/>
        </w:rPr>
        <w:t>facility</w:t>
      </w:r>
      <w:r w:rsidRPr="0030606E">
        <w:rPr>
          <w:rFonts w:cs="Arial"/>
        </w:rPr>
        <w:t xml:space="preserve"> </w:t>
      </w:r>
      <w:proofErr w:type="gramStart"/>
      <w:r w:rsidRPr="0030606E">
        <w:rPr>
          <w:rFonts w:cs="Arial"/>
        </w:rPr>
        <w:t>is located in</w:t>
      </w:r>
      <w:proofErr w:type="gramEnd"/>
      <w:r w:rsidRPr="0030606E">
        <w:rPr>
          <w:rFonts w:cs="Arial"/>
        </w:rPr>
        <w:t xml:space="preserve"> the </w:t>
      </w:r>
      <w:r w:rsidR="00D61C3D" w:rsidRPr="0030606E">
        <w:rPr>
          <w:rFonts w:cs="Arial"/>
        </w:rPr>
        <w:t>UVM College of Medicine complex</w:t>
      </w:r>
      <w:r w:rsidR="009E61B8" w:rsidRPr="0030606E">
        <w:rPr>
          <w:rFonts w:cs="Arial"/>
        </w:rPr>
        <w:t xml:space="preserve"> </w:t>
      </w:r>
      <w:r w:rsidRPr="0030606E">
        <w:rPr>
          <w:rFonts w:cs="Arial"/>
        </w:rPr>
        <w:t>in the heart of the UVM Health Sciences complex</w:t>
      </w:r>
      <w:r w:rsidR="00E82476" w:rsidRPr="0030606E">
        <w:rPr>
          <w:rFonts w:cs="Arial"/>
        </w:rPr>
        <w:t>, and occupies 2</w:t>
      </w:r>
      <w:r w:rsidR="00420A6C" w:rsidRPr="0030606E">
        <w:rPr>
          <w:rFonts w:cs="Arial"/>
        </w:rPr>
        <w:t>019</w:t>
      </w:r>
      <w:r w:rsidR="00E82476" w:rsidRPr="0030606E">
        <w:rPr>
          <w:rFonts w:cs="Arial"/>
        </w:rPr>
        <w:t xml:space="preserve"> sf of contiguous </w:t>
      </w:r>
      <w:r w:rsidR="00420A6C" w:rsidRPr="0030606E">
        <w:rPr>
          <w:rFonts w:cs="Arial"/>
        </w:rPr>
        <w:t xml:space="preserve">wet lab </w:t>
      </w:r>
      <w:r w:rsidR="00E82476" w:rsidRPr="0030606E">
        <w:rPr>
          <w:rFonts w:cs="Arial"/>
        </w:rPr>
        <w:t>space</w:t>
      </w:r>
      <w:r w:rsidR="00420A6C" w:rsidRPr="0030606E">
        <w:rPr>
          <w:rFonts w:cs="Arial"/>
        </w:rPr>
        <w:t>, and 507 sf of discontinuous dry lab space.</w:t>
      </w:r>
    </w:p>
    <w:p w14:paraId="4992268E" w14:textId="6670B30E" w:rsidR="009E61B8" w:rsidRPr="0030606E" w:rsidRDefault="00666771" w:rsidP="00666771">
      <w:pPr>
        <w:pStyle w:val="Body"/>
        <w:spacing w:after="0"/>
        <w:rPr>
          <w:rFonts w:cs="Arial"/>
        </w:rPr>
      </w:pPr>
      <w:r w:rsidRPr="0030606E">
        <w:rPr>
          <w:rFonts w:cs="Arial"/>
          <w:u w:val="single"/>
        </w:rPr>
        <w:t>Massively Parallel Sequencing</w:t>
      </w:r>
      <w:r w:rsidR="00420A6C" w:rsidRPr="0030606E">
        <w:rPr>
          <w:rFonts w:cs="Arial"/>
          <w:u w:val="single"/>
        </w:rPr>
        <w:t xml:space="preserve"> (MPS)</w:t>
      </w:r>
      <w:r w:rsidRPr="0030606E">
        <w:rPr>
          <w:rFonts w:cs="Arial"/>
        </w:rPr>
        <w:t xml:space="preserve">: </w:t>
      </w:r>
      <w:r w:rsidR="00420A6C" w:rsidRPr="0030606E">
        <w:rPr>
          <w:rFonts w:cs="Arial"/>
          <w:lang w:val="en"/>
        </w:rPr>
        <w:t>MPS</w:t>
      </w:r>
      <w:r w:rsidRPr="0030606E">
        <w:rPr>
          <w:rFonts w:cs="Arial"/>
        </w:rPr>
        <w:t xml:space="preserve"> includ</w:t>
      </w:r>
      <w:r w:rsidR="00E82476" w:rsidRPr="0030606E">
        <w:rPr>
          <w:rFonts w:cs="Arial"/>
        </w:rPr>
        <w:t>e</w:t>
      </w:r>
      <w:r w:rsidR="00420A6C" w:rsidRPr="0030606E">
        <w:rPr>
          <w:rFonts w:cs="Arial"/>
        </w:rPr>
        <w:t>s</w:t>
      </w:r>
      <w:r w:rsidRPr="0030606E">
        <w:rPr>
          <w:rFonts w:cs="Arial"/>
        </w:rPr>
        <w:t xml:space="preserve"> single-cell genomic analysis, chromosome conformation capture techniques, RNA</w:t>
      </w:r>
      <w:r w:rsidR="00D1519D" w:rsidRPr="0030606E">
        <w:rPr>
          <w:rFonts w:cs="Arial"/>
        </w:rPr>
        <w:t>-</w:t>
      </w:r>
      <w:r w:rsidRPr="0030606E">
        <w:rPr>
          <w:rFonts w:cs="Arial"/>
        </w:rPr>
        <w:t>Seq, Exome</w:t>
      </w:r>
      <w:r w:rsidR="00D1519D" w:rsidRPr="0030606E">
        <w:rPr>
          <w:rFonts w:cs="Arial"/>
        </w:rPr>
        <w:t>-</w:t>
      </w:r>
      <w:r w:rsidRPr="0030606E">
        <w:rPr>
          <w:rFonts w:cs="Arial"/>
        </w:rPr>
        <w:t xml:space="preserve">Seq, </w:t>
      </w:r>
      <w:proofErr w:type="spellStart"/>
      <w:r w:rsidRPr="0030606E">
        <w:rPr>
          <w:rFonts w:cs="Arial"/>
        </w:rPr>
        <w:t>ChIP</w:t>
      </w:r>
      <w:proofErr w:type="spellEnd"/>
      <w:r w:rsidR="00D1519D" w:rsidRPr="0030606E">
        <w:rPr>
          <w:rFonts w:cs="Arial"/>
        </w:rPr>
        <w:t>-</w:t>
      </w:r>
      <w:r w:rsidRPr="0030606E">
        <w:rPr>
          <w:rFonts w:cs="Arial"/>
        </w:rPr>
        <w:t>Seq, Methyl</w:t>
      </w:r>
      <w:r w:rsidR="00D1519D" w:rsidRPr="0030606E">
        <w:rPr>
          <w:rFonts w:cs="Arial"/>
        </w:rPr>
        <w:t>-</w:t>
      </w:r>
      <w:r w:rsidRPr="0030606E">
        <w:rPr>
          <w:rFonts w:cs="Arial"/>
        </w:rPr>
        <w:t xml:space="preserve">Seq, whole genome sequencing, </w:t>
      </w:r>
      <w:r w:rsidR="009E61B8" w:rsidRPr="0030606E">
        <w:rPr>
          <w:rFonts w:cs="Arial"/>
        </w:rPr>
        <w:t>m</w:t>
      </w:r>
      <w:r w:rsidR="00396D0E" w:rsidRPr="0030606E">
        <w:rPr>
          <w:rFonts w:cs="Arial"/>
        </w:rPr>
        <w:t xml:space="preserve">etagenomics and microbiome, </w:t>
      </w:r>
      <w:r w:rsidR="00FD70D5" w:rsidRPr="0030606E">
        <w:rPr>
          <w:rFonts w:cs="Arial"/>
        </w:rPr>
        <w:t>and small RNA sequencing to name a few.</w:t>
      </w:r>
      <w:r w:rsidRPr="0030606E">
        <w:rPr>
          <w:rFonts w:cs="Arial"/>
        </w:rPr>
        <w:t xml:space="preserve"> </w:t>
      </w:r>
    </w:p>
    <w:p w14:paraId="48E2F748" w14:textId="0062BCE5" w:rsidR="00666771" w:rsidRPr="0030606E" w:rsidRDefault="009E61B8" w:rsidP="00420A6C">
      <w:pPr>
        <w:pStyle w:val="Body"/>
        <w:rPr>
          <w:rFonts w:cs="Arial"/>
        </w:rPr>
      </w:pPr>
      <w:r w:rsidRPr="0030606E">
        <w:rPr>
          <w:rFonts w:cs="Arial"/>
        </w:rPr>
        <w:t xml:space="preserve">Major equipment </w:t>
      </w:r>
      <w:r w:rsidR="00420A6C" w:rsidRPr="0030606E">
        <w:rPr>
          <w:rFonts w:cs="Arial"/>
        </w:rPr>
        <w:t>includes:</w:t>
      </w:r>
    </w:p>
    <w:p w14:paraId="459BC813" w14:textId="77777777" w:rsidR="0005785E" w:rsidRPr="0030606E" w:rsidRDefault="0005785E" w:rsidP="0005785E">
      <w:pPr>
        <w:pStyle w:val="Body"/>
        <w:numPr>
          <w:ilvl w:val="0"/>
          <w:numId w:val="5"/>
        </w:numPr>
        <w:spacing w:after="0"/>
        <w:ind w:left="360"/>
        <w:rPr>
          <w:rFonts w:cs="Arial"/>
        </w:rPr>
      </w:pPr>
      <w:r w:rsidRPr="0030606E">
        <w:rPr>
          <w:rFonts w:cs="Arial"/>
        </w:rPr>
        <w:t xml:space="preserve">Illumina </w:t>
      </w:r>
      <w:proofErr w:type="spellStart"/>
      <w:r w:rsidRPr="0030606E">
        <w:rPr>
          <w:rFonts w:cs="Arial"/>
        </w:rPr>
        <w:t>HiSeq</w:t>
      </w:r>
      <w:proofErr w:type="spellEnd"/>
      <w:r w:rsidRPr="0030606E">
        <w:rPr>
          <w:rFonts w:cs="Arial"/>
        </w:rPr>
        <w:t xml:space="preserve"> 1500 Sequencer, </w:t>
      </w:r>
      <w:proofErr w:type="spellStart"/>
      <w:r w:rsidRPr="0030606E">
        <w:rPr>
          <w:rFonts w:cs="Arial"/>
        </w:rPr>
        <w:t>MiSeq</w:t>
      </w:r>
      <w:proofErr w:type="spellEnd"/>
      <w:r w:rsidRPr="0030606E">
        <w:rPr>
          <w:rFonts w:cs="Arial"/>
        </w:rPr>
        <w:t xml:space="preserve"> Sequencer, and </w:t>
      </w:r>
      <w:proofErr w:type="spellStart"/>
      <w:r w:rsidRPr="0030606E">
        <w:rPr>
          <w:rFonts w:cs="Arial"/>
        </w:rPr>
        <w:t>MiniSeq</w:t>
      </w:r>
      <w:proofErr w:type="spellEnd"/>
      <w:r w:rsidRPr="0030606E">
        <w:rPr>
          <w:rFonts w:cs="Arial"/>
        </w:rPr>
        <w:t xml:space="preserve"> Sequencer</w:t>
      </w:r>
    </w:p>
    <w:p w14:paraId="04576D1A" w14:textId="77777777" w:rsidR="0005785E" w:rsidRPr="0030606E" w:rsidRDefault="0005785E" w:rsidP="0005785E">
      <w:pPr>
        <w:pStyle w:val="Body"/>
        <w:numPr>
          <w:ilvl w:val="0"/>
          <w:numId w:val="5"/>
        </w:numPr>
        <w:spacing w:after="0"/>
        <w:ind w:left="360"/>
        <w:rPr>
          <w:rFonts w:cs="Arial"/>
        </w:rPr>
      </w:pPr>
      <w:r w:rsidRPr="0030606E">
        <w:rPr>
          <w:rFonts w:cs="Arial"/>
        </w:rPr>
        <w:t xml:space="preserve">Oxford Nanopore </w:t>
      </w:r>
      <w:proofErr w:type="spellStart"/>
      <w:r w:rsidRPr="0030606E">
        <w:rPr>
          <w:rFonts w:cs="Arial"/>
        </w:rPr>
        <w:t>GridION</w:t>
      </w:r>
      <w:proofErr w:type="spellEnd"/>
      <w:r w:rsidRPr="0030606E">
        <w:rPr>
          <w:rFonts w:cs="Arial"/>
        </w:rPr>
        <w:t xml:space="preserve"> X5 MK2, and 3 Oxford Nanopore </w:t>
      </w:r>
      <w:proofErr w:type="spellStart"/>
      <w:r w:rsidRPr="0030606E">
        <w:rPr>
          <w:rFonts w:cs="Arial"/>
        </w:rPr>
        <w:t>MinION</w:t>
      </w:r>
      <w:proofErr w:type="spellEnd"/>
      <w:r w:rsidRPr="0030606E">
        <w:rPr>
          <w:rFonts w:cs="Arial"/>
        </w:rPr>
        <w:t xml:space="preserve"> MK1B</w:t>
      </w:r>
    </w:p>
    <w:p w14:paraId="29013D03" w14:textId="77777777" w:rsidR="0005785E" w:rsidRPr="0030606E" w:rsidRDefault="0005785E" w:rsidP="0005785E">
      <w:pPr>
        <w:pStyle w:val="Body"/>
        <w:numPr>
          <w:ilvl w:val="0"/>
          <w:numId w:val="5"/>
        </w:numPr>
        <w:spacing w:after="0"/>
        <w:ind w:left="360"/>
        <w:rPr>
          <w:rFonts w:cs="Arial"/>
        </w:rPr>
      </w:pPr>
      <w:r w:rsidRPr="0030606E">
        <w:rPr>
          <w:rFonts w:cs="Arial"/>
        </w:rPr>
        <w:t>10x Single Cell Genomics System</w:t>
      </w:r>
    </w:p>
    <w:p w14:paraId="2F8E6944" w14:textId="77777777" w:rsidR="0005785E" w:rsidRPr="0030606E" w:rsidRDefault="0005785E" w:rsidP="0005785E">
      <w:pPr>
        <w:pStyle w:val="Body"/>
        <w:numPr>
          <w:ilvl w:val="0"/>
          <w:numId w:val="5"/>
        </w:numPr>
        <w:spacing w:after="0"/>
        <w:ind w:left="360"/>
        <w:rPr>
          <w:rFonts w:cs="Arial"/>
        </w:rPr>
      </w:pPr>
      <w:r w:rsidRPr="0030606E">
        <w:rPr>
          <w:rFonts w:cs="Arial"/>
        </w:rPr>
        <w:t xml:space="preserve">Eppendorf </w:t>
      </w:r>
      <w:proofErr w:type="spellStart"/>
      <w:r w:rsidRPr="0030606E">
        <w:rPr>
          <w:rFonts w:cs="Arial"/>
        </w:rPr>
        <w:t>epMotion</w:t>
      </w:r>
      <w:proofErr w:type="spellEnd"/>
      <w:r w:rsidRPr="0030606E">
        <w:rPr>
          <w:rFonts w:cs="Arial"/>
        </w:rPr>
        <w:t xml:space="preserve"> 5073 liquid </w:t>
      </w:r>
      <w:proofErr w:type="gramStart"/>
      <w:r w:rsidRPr="0030606E">
        <w:rPr>
          <w:rFonts w:cs="Arial"/>
        </w:rPr>
        <w:t>handler</w:t>
      </w:r>
      <w:proofErr w:type="gramEnd"/>
    </w:p>
    <w:p w14:paraId="056932FE" w14:textId="77777777" w:rsidR="0005785E" w:rsidRPr="0030606E" w:rsidRDefault="0005785E" w:rsidP="0005785E">
      <w:pPr>
        <w:pStyle w:val="Body"/>
        <w:numPr>
          <w:ilvl w:val="0"/>
          <w:numId w:val="5"/>
        </w:numPr>
        <w:spacing w:after="0"/>
        <w:ind w:left="360"/>
        <w:rPr>
          <w:rFonts w:cs="Arial"/>
        </w:rPr>
      </w:pPr>
      <w:proofErr w:type="spellStart"/>
      <w:r w:rsidRPr="0030606E">
        <w:rPr>
          <w:rFonts w:cs="Arial"/>
        </w:rPr>
        <w:t>Covaris</w:t>
      </w:r>
      <w:proofErr w:type="spellEnd"/>
      <w:r w:rsidRPr="0030606E">
        <w:rPr>
          <w:rFonts w:cs="Arial"/>
        </w:rPr>
        <w:t xml:space="preserve"> AFA </w:t>
      </w:r>
      <w:proofErr w:type="spellStart"/>
      <w:r w:rsidRPr="0030606E">
        <w:rPr>
          <w:rFonts w:cs="Arial"/>
        </w:rPr>
        <w:t>Hydroshear</w:t>
      </w:r>
      <w:proofErr w:type="spellEnd"/>
    </w:p>
    <w:p w14:paraId="5CF44FC9" w14:textId="77777777" w:rsidR="0005785E" w:rsidRPr="0030606E" w:rsidRDefault="00396D0E" w:rsidP="00582347">
      <w:pPr>
        <w:spacing w:before="120" w:after="120"/>
        <w:rPr>
          <w:rFonts w:ascii="Arial" w:hAnsi="Arial" w:cs="Arial"/>
          <w:sz w:val="22"/>
          <w:szCs w:val="22"/>
        </w:rPr>
      </w:pPr>
      <w:r w:rsidRPr="0030606E">
        <w:rPr>
          <w:rFonts w:ascii="Arial" w:hAnsi="Arial" w:cs="Arial"/>
          <w:sz w:val="22"/>
          <w:szCs w:val="22"/>
          <w:u w:val="single"/>
        </w:rPr>
        <w:t>General Genomic Services</w:t>
      </w:r>
      <w:r w:rsidR="009C2FC4" w:rsidRPr="0030606E">
        <w:rPr>
          <w:rFonts w:ascii="Arial" w:hAnsi="Arial" w:cs="Arial"/>
          <w:sz w:val="22"/>
          <w:szCs w:val="22"/>
          <w:u w:val="single"/>
        </w:rPr>
        <w:t xml:space="preserve"> (GGS)</w:t>
      </w:r>
      <w:r w:rsidR="00666771" w:rsidRPr="0030606E">
        <w:rPr>
          <w:rFonts w:ascii="Arial" w:hAnsi="Arial" w:cs="Arial"/>
          <w:sz w:val="22"/>
          <w:szCs w:val="22"/>
        </w:rPr>
        <w:t xml:space="preserve">: </w:t>
      </w:r>
      <w:r w:rsidR="009C2FC4" w:rsidRPr="0030606E">
        <w:rPr>
          <w:rFonts w:ascii="Arial" w:hAnsi="Arial" w:cs="Arial"/>
          <w:sz w:val="22"/>
          <w:szCs w:val="22"/>
        </w:rPr>
        <w:t xml:space="preserve">GGS </w:t>
      </w:r>
      <w:r w:rsidR="00666771" w:rsidRPr="0030606E">
        <w:rPr>
          <w:rFonts w:ascii="Arial" w:hAnsi="Arial" w:cs="Arial"/>
          <w:sz w:val="22"/>
          <w:szCs w:val="22"/>
        </w:rPr>
        <w:t xml:space="preserve">provides </w:t>
      </w:r>
      <w:r w:rsidR="009C2FC4" w:rsidRPr="0030606E">
        <w:rPr>
          <w:rFonts w:ascii="Arial" w:hAnsi="Arial" w:cs="Arial"/>
          <w:sz w:val="22"/>
          <w:szCs w:val="22"/>
        </w:rPr>
        <w:t xml:space="preserve">a vast array of analysis </w:t>
      </w:r>
      <w:r w:rsidR="00420A6C" w:rsidRPr="0030606E">
        <w:rPr>
          <w:rFonts w:ascii="Arial" w:hAnsi="Arial" w:cs="Arial"/>
          <w:sz w:val="22"/>
          <w:szCs w:val="22"/>
        </w:rPr>
        <w:t xml:space="preserve">services </w:t>
      </w:r>
      <w:r w:rsidR="009C2FC4" w:rsidRPr="0030606E">
        <w:rPr>
          <w:rFonts w:ascii="Arial" w:hAnsi="Arial" w:cs="Arial"/>
          <w:sz w:val="22"/>
          <w:szCs w:val="22"/>
        </w:rPr>
        <w:t xml:space="preserve">including </w:t>
      </w:r>
      <w:r w:rsidR="00666771" w:rsidRPr="0030606E">
        <w:rPr>
          <w:rFonts w:ascii="Arial" w:hAnsi="Arial" w:cs="Arial"/>
          <w:sz w:val="22"/>
          <w:szCs w:val="22"/>
        </w:rPr>
        <w:t>DNA/RNA extraction,</w:t>
      </w:r>
      <w:r w:rsidR="00666771" w:rsidRPr="0030606E">
        <w:rPr>
          <w:rFonts w:ascii="Arial" w:hAnsi="Arial" w:cs="Arial"/>
          <w:sz w:val="22"/>
          <w:szCs w:val="22"/>
          <w:lang w:val="en"/>
        </w:rPr>
        <w:t xml:space="preserve"> </w:t>
      </w:r>
      <w:r w:rsidR="009C2FC4" w:rsidRPr="0030606E">
        <w:rPr>
          <w:rFonts w:ascii="Arial" w:hAnsi="Arial" w:cs="Arial"/>
          <w:sz w:val="22"/>
          <w:szCs w:val="22"/>
          <w:lang w:val="en"/>
        </w:rPr>
        <w:t>PCR</w:t>
      </w:r>
      <w:r w:rsidR="00D34008" w:rsidRPr="0030606E">
        <w:rPr>
          <w:rFonts w:ascii="Arial" w:hAnsi="Arial" w:cs="Arial"/>
          <w:sz w:val="22"/>
          <w:szCs w:val="22"/>
          <w:lang w:val="en"/>
        </w:rPr>
        <w:t xml:space="preserve"> and PCR</w:t>
      </w:r>
      <w:r w:rsidR="009C2FC4" w:rsidRPr="0030606E">
        <w:rPr>
          <w:rFonts w:ascii="Arial" w:hAnsi="Arial" w:cs="Arial"/>
          <w:sz w:val="22"/>
          <w:szCs w:val="22"/>
          <w:lang w:val="en"/>
        </w:rPr>
        <w:t xml:space="preserve"> troubleshooting, primer design</w:t>
      </w:r>
      <w:r w:rsidR="00FD70D5" w:rsidRPr="0030606E">
        <w:rPr>
          <w:rFonts w:ascii="Arial" w:hAnsi="Arial" w:cs="Arial"/>
          <w:sz w:val="22"/>
          <w:szCs w:val="22"/>
          <w:lang w:val="en"/>
        </w:rPr>
        <w:t>,</w:t>
      </w:r>
      <w:r w:rsidR="009C2FC4" w:rsidRPr="0030606E">
        <w:rPr>
          <w:rFonts w:ascii="Arial" w:hAnsi="Arial" w:cs="Arial"/>
          <w:sz w:val="22"/>
          <w:szCs w:val="22"/>
          <w:lang w:val="en"/>
        </w:rPr>
        <w:t xml:space="preserve"> Sanger</w:t>
      </w:r>
      <w:r w:rsidR="00666771" w:rsidRPr="0030606E">
        <w:rPr>
          <w:rFonts w:ascii="Arial" w:hAnsi="Arial" w:cs="Arial"/>
          <w:sz w:val="22"/>
          <w:szCs w:val="22"/>
          <w:lang w:val="en"/>
        </w:rPr>
        <w:t xml:space="preserve"> </w:t>
      </w:r>
      <w:r w:rsidR="009C2FC4" w:rsidRPr="0030606E">
        <w:rPr>
          <w:rFonts w:ascii="Arial" w:hAnsi="Arial" w:cs="Arial"/>
          <w:sz w:val="22"/>
          <w:szCs w:val="22"/>
          <w:lang w:val="en"/>
        </w:rPr>
        <w:t>sequencing,</w:t>
      </w:r>
      <w:r w:rsidR="00666771" w:rsidRPr="0030606E">
        <w:rPr>
          <w:rFonts w:ascii="Arial" w:hAnsi="Arial" w:cs="Arial"/>
          <w:sz w:val="22"/>
          <w:szCs w:val="22"/>
          <w:lang w:val="en"/>
        </w:rPr>
        <w:t xml:space="preserve"> </w:t>
      </w:r>
      <w:r w:rsidR="009C2FC4" w:rsidRPr="0030606E">
        <w:rPr>
          <w:rFonts w:ascii="Arial" w:hAnsi="Arial" w:cs="Arial"/>
          <w:sz w:val="22"/>
          <w:szCs w:val="22"/>
          <w:lang w:val="en"/>
        </w:rPr>
        <w:t>(SNP/MSI/AFLP)</w:t>
      </w:r>
      <w:r w:rsidR="00666771" w:rsidRPr="0030606E">
        <w:rPr>
          <w:rFonts w:ascii="Arial" w:hAnsi="Arial" w:cs="Arial"/>
          <w:sz w:val="22"/>
          <w:szCs w:val="22"/>
          <w:lang w:val="en"/>
        </w:rPr>
        <w:t>, human cell line authentication, quantitative PCR, nucleic acid and protein quantification</w:t>
      </w:r>
      <w:r w:rsidR="00697536" w:rsidRPr="0030606E">
        <w:rPr>
          <w:rFonts w:ascii="Arial" w:hAnsi="Arial" w:cs="Arial"/>
          <w:sz w:val="22"/>
          <w:szCs w:val="22"/>
          <w:lang w:val="en"/>
        </w:rPr>
        <w:t>, and microarrays</w:t>
      </w:r>
      <w:r w:rsidR="00666771" w:rsidRPr="0030606E">
        <w:rPr>
          <w:rFonts w:ascii="Arial" w:hAnsi="Arial" w:cs="Arial"/>
          <w:sz w:val="22"/>
          <w:szCs w:val="22"/>
          <w:lang w:val="en"/>
        </w:rPr>
        <w:t xml:space="preserve">. </w:t>
      </w:r>
      <w:r w:rsidR="00420A6C" w:rsidRPr="0030606E">
        <w:rPr>
          <w:rFonts w:ascii="Arial" w:hAnsi="Arial" w:cs="Arial"/>
          <w:sz w:val="22"/>
          <w:szCs w:val="22"/>
        </w:rPr>
        <w:t>Major equipment includes:</w:t>
      </w:r>
      <w:r w:rsidR="0005785E" w:rsidRPr="0030606E">
        <w:rPr>
          <w:rFonts w:ascii="Arial" w:hAnsi="Arial" w:cs="Arial"/>
          <w:sz w:val="22"/>
          <w:szCs w:val="22"/>
        </w:rPr>
        <w:t xml:space="preserve"> </w:t>
      </w:r>
    </w:p>
    <w:p w14:paraId="5272AD0C" w14:textId="0CB37DF8" w:rsidR="0005785E" w:rsidRPr="0030606E" w:rsidRDefault="0005785E" w:rsidP="0005785E">
      <w:pPr>
        <w:pStyle w:val="ListParagraph"/>
        <w:numPr>
          <w:ilvl w:val="0"/>
          <w:numId w:val="10"/>
        </w:numPr>
        <w:ind w:left="360"/>
        <w:rPr>
          <w:rFonts w:ascii="Arial" w:hAnsi="Arial" w:cs="Arial"/>
          <w:sz w:val="22"/>
          <w:szCs w:val="22"/>
        </w:rPr>
      </w:pPr>
      <w:r w:rsidRPr="0030606E">
        <w:rPr>
          <w:rFonts w:ascii="Arial" w:hAnsi="Arial" w:cs="Arial"/>
          <w:sz w:val="22"/>
          <w:szCs w:val="22"/>
        </w:rPr>
        <w:t xml:space="preserve">ABI Prism 3130 and 3130xl (4 &amp; 16 cap) Genetic Analyzers </w:t>
      </w:r>
    </w:p>
    <w:p w14:paraId="18798EEA" w14:textId="4CACF7A4" w:rsidR="0005785E" w:rsidRPr="0030606E" w:rsidRDefault="0005785E" w:rsidP="00DA181E">
      <w:pPr>
        <w:pStyle w:val="ListParagraph"/>
        <w:numPr>
          <w:ilvl w:val="0"/>
          <w:numId w:val="9"/>
        </w:numPr>
        <w:ind w:left="360"/>
        <w:rPr>
          <w:rFonts w:ascii="Arial" w:hAnsi="Arial" w:cs="Arial"/>
          <w:sz w:val="22"/>
          <w:szCs w:val="22"/>
        </w:rPr>
      </w:pPr>
      <w:r w:rsidRPr="0030606E">
        <w:rPr>
          <w:rFonts w:ascii="Arial" w:hAnsi="Arial" w:cs="Arial"/>
          <w:sz w:val="22"/>
          <w:szCs w:val="22"/>
        </w:rPr>
        <w:t xml:space="preserve">ABI </w:t>
      </w:r>
      <w:r w:rsidR="00DA181E" w:rsidRPr="0030606E">
        <w:rPr>
          <w:rFonts w:ascii="Arial" w:hAnsi="Arial" w:cs="Arial"/>
          <w:sz w:val="22"/>
          <w:szCs w:val="22"/>
        </w:rPr>
        <w:t xml:space="preserve">Quant Studio 6 </w:t>
      </w:r>
      <w:proofErr w:type="spellStart"/>
      <w:r w:rsidR="00DA181E" w:rsidRPr="0030606E">
        <w:rPr>
          <w:rFonts w:ascii="Arial" w:hAnsi="Arial" w:cs="Arial"/>
          <w:sz w:val="22"/>
          <w:szCs w:val="22"/>
        </w:rPr>
        <w:t>RTqPCR</w:t>
      </w:r>
      <w:proofErr w:type="spellEnd"/>
      <w:r w:rsidR="00DA181E" w:rsidRPr="0030606E">
        <w:rPr>
          <w:rFonts w:ascii="Arial" w:hAnsi="Arial" w:cs="Arial"/>
          <w:sz w:val="22"/>
          <w:szCs w:val="22"/>
        </w:rPr>
        <w:t xml:space="preserve"> system and </w:t>
      </w:r>
      <w:r w:rsidRPr="0030606E">
        <w:rPr>
          <w:rFonts w:ascii="Arial" w:hAnsi="Arial" w:cs="Arial"/>
          <w:sz w:val="22"/>
          <w:szCs w:val="22"/>
        </w:rPr>
        <w:t xml:space="preserve">Prism 7500 Fast </w:t>
      </w:r>
      <w:proofErr w:type="spellStart"/>
      <w:r w:rsidRPr="0030606E">
        <w:rPr>
          <w:rFonts w:ascii="Arial" w:hAnsi="Arial" w:cs="Arial"/>
          <w:sz w:val="22"/>
          <w:szCs w:val="22"/>
        </w:rPr>
        <w:t>RTqPCR</w:t>
      </w:r>
      <w:proofErr w:type="spellEnd"/>
    </w:p>
    <w:p w14:paraId="0A6C552B" w14:textId="77777777" w:rsidR="0005785E" w:rsidRPr="0030606E" w:rsidRDefault="0005785E" w:rsidP="0005785E">
      <w:pPr>
        <w:pStyle w:val="ListParagraph"/>
        <w:numPr>
          <w:ilvl w:val="0"/>
          <w:numId w:val="9"/>
        </w:numPr>
        <w:ind w:left="360"/>
        <w:rPr>
          <w:rFonts w:ascii="Arial" w:hAnsi="Arial" w:cs="Arial"/>
          <w:sz w:val="22"/>
          <w:szCs w:val="22"/>
        </w:rPr>
      </w:pPr>
      <w:proofErr w:type="spellStart"/>
      <w:r w:rsidRPr="0030606E">
        <w:rPr>
          <w:rFonts w:ascii="Arial" w:hAnsi="Arial" w:cs="Arial"/>
          <w:sz w:val="22"/>
          <w:szCs w:val="22"/>
        </w:rPr>
        <w:t>BioRad</w:t>
      </w:r>
      <w:proofErr w:type="spellEnd"/>
      <w:r w:rsidRPr="0030606E">
        <w:rPr>
          <w:rFonts w:ascii="Arial" w:hAnsi="Arial" w:cs="Arial"/>
          <w:sz w:val="22"/>
          <w:szCs w:val="22"/>
        </w:rPr>
        <w:t xml:space="preserve"> QX200 Digital Droplet qPCR</w:t>
      </w:r>
    </w:p>
    <w:p w14:paraId="5CB1C5FF" w14:textId="77777777" w:rsidR="0005785E" w:rsidRPr="0030606E" w:rsidRDefault="0005785E" w:rsidP="0005785E">
      <w:pPr>
        <w:pStyle w:val="ListParagraph"/>
        <w:numPr>
          <w:ilvl w:val="0"/>
          <w:numId w:val="9"/>
        </w:numPr>
        <w:ind w:left="360"/>
        <w:rPr>
          <w:rFonts w:ascii="Arial" w:hAnsi="Arial" w:cs="Arial"/>
          <w:sz w:val="22"/>
          <w:szCs w:val="22"/>
        </w:rPr>
      </w:pPr>
      <w:proofErr w:type="spellStart"/>
      <w:r w:rsidRPr="0030606E">
        <w:rPr>
          <w:rFonts w:ascii="Arial" w:hAnsi="Arial" w:cs="Arial"/>
          <w:sz w:val="22"/>
          <w:szCs w:val="22"/>
        </w:rPr>
        <w:t>BioRad</w:t>
      </w:r>
      <w:proofErr w:type="spellEnd"/>
      <w:r w:rsidRPr="0030606E">
        <w:rPr>
          <w:rFonts w:ascii="Arial" w:hAnsi="Arial" w:cs="Arial"/>
          <w:sz w:val="22"/>
          <w:szCs w:val="22"/>
        </w:rPr>
        <w:t xml:space="preserve"> </w:t>
      </w:r>
      <w:proofErr w:type="spellStart"/>
      <w:r w:rsidRPr="0030606E">
        <w:rPr>
          <w:rFonts w:ascii="Arial" w:hAnsi="Arial" w:cs="Arial"/>
          <w:sz w:val="22"/>
          <w:szCs w:val="22"/>
        </w:rPr>
        <w:t>PharosFX</w:t>
      </w:r>
      <w:proofErr w:type="spellEnd"/>
      <w:r w:rsidRPr="0030606E">
        <w:rPr>
          <w:rFonts w:ascii="Arial" w:hAnsi="Arial" w:cs="Arial"/>
          <w:sz w:val="22"/>
          <w:szCs w:val="22"/>
        </w:rPr>
        <w:t xml:space="preserve"> &amp; QRS+ </w:t>
      </w:r>
      <w:proofErr w:type="spellStart"/>
      <w:r w:rsidRPr="0030606E">
        <w:rPr>
          <w:rFonts w:ascii="Arial" w:hAnsi="Arial" w:cs="Arial"/>
          <w:sz w:val="22"/>
          <w:szCs w:val="22"/>
        </w:rPr>
        <w:t>ChemiDoc</w:t>
      </w:r>
      <w:proofErr w:type="spellEnd"/>
      <w:r w:rsidRPr="0030606E">
        <w:rPr>
          <w:rFonts w:ascii="Arial" w:hAnsi="Arial" w:cs="Arial"/>
          <w:sz w:val="22"/>
          <w:szCs w:val="22"/>
        </w:rPr>
        <w:t xml:space="preserve"> imagers</w:t>
      </w:r>
    </w:p>
    <w:p w14:paraId="2B05A1C7"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Agilent 2100 Bioanalyzer</w:t>
      </w:r>
    </w:p>
    <w:p w14:paraId="121C167A" w14:textId="77777777" w:rsidR="0005785E" w:rsidRPr="0030606E" w:rsidRDefault="0005785E" w:rsidP="0005785E">
      <w:pPr>
        <w:pStyle w:val="ListParagraph"/>
        <w:numPr>
          <w:ilvl w:val="0"/>
          <w:numId w:val="9"/>
        </w:numPr>
        <w:ind w:left="360"/>
        <w:rPr>
          <w:rFonts w:ascii="Arial" w:hAnsi="Arial" w:cs="Arial"/>
          <w:sz w:val="22"/>
          <w:szCs w:val="22"/>
        </w:rPr>
      </w:pPr>
      <w:proofErr w:type="spellStart"/>
      <w:r w:rsidRPr="0030606E">
        <w:rPr>
          <w:rFonts w:ascii="Arial" w:hAnsi="Arial" w:cs="Arial"/>
          <w:sz w:val="22"/>
          <w:szCs w:val="22"/>
        </w:rPr>
        <w:lastRenderedPageBreak/>
        <w:t>NanoDrop</w:t>
      </w:r>
      <w:proofErr w:type="spellEnd"/>
      <w:r w:rsidRPr="0030606E">
        <w:rPr>
          <w:rFonts w:ascii="Arial" w:hAnsi="Arial" w:cs="Arial"/>
          <w:sz w:val="22"/>
          <w:szCs w:val="22"/>
        </w:rPr>
        <w:t xml:space="preserve"> (ND-1000) Spectrophotometer</w:t>
      </w:r>
    </w:p>
    <w:p w14:paraId="5A970F39" w14:textId="77777777" w:rsidR="0005785E" w:rsidRPr="0030606E" w:rsidRDefault="0005785E" w:rsidP="0005785E">
      <w:pPr>
        <w:pStyle w:val="ListParagraph"/>
        <w:numPr>
          <w:ilvl w:val="0"/>
          <w:numId w:val="9"/>
        </w:numPr>
        <w:ind w:left="360"/>
        <w:rPr>
          <w:rFonts w:ascii="Arial" w:hAnsi="Arial" w:cs="Arial"/>
          <w:sz w:val="22"/>
          <w:szCs w:val="22"/>
        </w:rPr>
      </w:pPr>
      <w:proofErr w:type="spellStart"/>
      <w:r w:rsidRPr="0030606E">
        <w:rPr>
          <w:rFonts w:ascii="Arial" w:hAnsi="Arial" w:cs="Arial"/>
          <w:sz w:val="22"/>
          <w:szCs w:val="22"/>
        </w:rPr>
        <w:t>Quantas</w:t>
      </w:r>
      <w:proofErr w:type="spellEnd"/>
      <w:r w:rsidRPr="0030606E">
        <w:rPr>
          <w:rFonts w:ascii="Arial" w:hAnsi="Arial" w:cs="Arial"/>
          <w:sz w:val="22"/>
          <w:szCs w:val="22"/>
        </w:rPr>
        <w:t xml:space="preserve"> Spectrofluorometers, and 3 Qubit spectrofluorometer</w:t>
      </w:r>
    </w:p>
    <w:p w14:paraId="702FF3CB"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Logo Quantum Microbial imager</w:t>
      </w:r>
    </w:p>
    <w:p w14:paraId="7AA896C6"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 xml:space="preserve">Zeiss digital </w:t>
      </w:r>
      <w:proofErr w:type="spellStart"/>
      <w:r w:rsidRPr="0030606E">
        <w:rPr>
          <w:rFonts w:ascii="Arial" w:hAnsi="Arial" w:cs="Arial"/>
          <w:sz w:val="22"/>
          <w:szCs w:val="22"/>
        </w:rPr>
        <w:t>AxioScope</w:t>
      </w:r>
      <w:proofErr w:type="spellEnd"/>
      <w:r w:rsidRPr="0030606E">
        <w:rPr>
          <w:rFonts w:ascii="Arial" w:hAnsi="Arial" w:cs="Arial"/>
          <w:sz w:val="22"/>
          <w:szCs w:val="22"/>
        </w:rPr>
        <w:t xml:space="preserve"> with DIC and full spectrum fluorescence</w:t>
      </w:r>
    </w:p>
    <w:p w14:paraId="30AD16A7"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Benchmark Beadbug6 Homogenizer</w:t>
      </w:r>
    </w:p>
    <w:p w14:paraId="7B4ACDB8"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4 PCR free Clean Air HEPA cabinets</w:t>
      </w:r>
    </w:p>
    <w:p w14:paraId="7FC30FDD"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1 Biosafety II hood</w:t>
      </w:r>
    </w:p>
    <w:p w14:paraId="79449395"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 xml:space="preserve">Savant </w:t>
      </w:r>
      <w:proofErr w:type="spellStart"/>
      <w:r w:rsidRPr="0030606E">
        <w:rPr>
          <w:rFonts w:ascii="Arial" w:hAnsi="Arial" w:cs="Arial"/>
          <w:sz w:val="22"/>
          <w:szCs w:val="22"/>
        </w:rPr>
        <w:t>SpeedVac</w:t>
      </w:r>
      <w:proofErr w:type="spellEnd"/>
    </w:p>
    <w:p w14:paraId="56DEB689"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 xml:space="preserve">Thermo Omni Bead </w:t>
      </w:r>
      <w:proofErr w:type="spellStart"/>
      <w:r w:rsidRPr="0030606E">
        <w:rPr>
          <w:rFonts w:ascii="Arial" w:hAnsi="Arial" w:cs="Arial"/>
          <w:sz w:val="22"/>
          <w:szCs w:val="22"/>
        </w:rPr>
        <w:t>Ruptor</w:t>
      </w:r>
      <w:proofErr w:type="spellEnd"/>
      <w:r w:rsidRPr="0030606E">
        <w:rPr>
          <w:rFonts w:ascii="Arial" w:hAnsi="Arial" w:cs="Arial"/>
          <w:sz w:val="22"/>
          <w:szCs w:val="22"/>
        </w:rPr>
        <w:t xml:space="preserve"> 24 Elite</w:t>
      </w:r>
    </w:p>
    <w:p w14:paraId="390D85E7" w14:textId="77777777" w:rsidR="0005785E" w:rsidRPr="0030606E" w:rsidRDefault="0005785E" w:rsidP="0005785E">
      <w:pPr>
        <w:pStyle w:val="ListParagraph"/>
        <w:numPr>
          <w:ilvl w:val="0"/>
          <w:numId w:val="9"/>
        </w:numPr>
        <w:ind w:left="360"/>
        <w:rPr>
          <w:rFonts w:ascii="Arial" w:hAnsi="Arial" w:cs="Arial"/>
          <w:sz w:val="22"/>
          <w:szCs w:val="22"/>
        </w:rPr>
      </w:pPr>
      <w:r w:rsidRPr="0030606E">
        <w:rPr>
          <w:rFonts w:ascii="Arial" w:hAnsi="Arial" w:cs="Arial"/>
          <w:sz w:val="22"/>
          <w:szCs w:val="22"/>
        </w:rPr>
        <w:t xml:space="preserve">2 </w:t>
      </w:r>
      <w:proofErr w:type="spellStart"/>
      <w:r w:rsidRPr="0030606E">
        <w:rPr>
          <w:rFonts w:ascii="Arial" w:hAnsi="Arial" w:cs="Arial"/>
          <w:sz w:val="22"/>
          <w:szCs w:val="22"/>
        </w:rPr>
        <w:t>Biometra</w:t>
      </w:r>
      <w:proofErr w:type="spellEnd"/>
      <w:r w:rsidRPr="0030606E">
        <w:rPr>
          <w:rFonts w:ascii="Arial" w:hAnsi="Arial" w:cs="Arial"/>
          <w:sz w:val="22"/>
          <w:szCs w:val="22"/>
        </w:rPr>
        <w:t xml:space="preserve"> </w:t>
      </w:r>
      <w:proofErr w:type="spellStart"/>
      <w:r w:rsidRPr="0030606E">
        <w:rPr>
          <w:rFonts w:ascii="Arial" w:hAnsi="Arial" w:cs="Arial"/>
          <w:sz w:val="22"/>
          <w:szCs w:val="22"/>
        </w:rPr>
        <w:t>TAdvanced</w:t>
      </w:r>
      <w:proofErr w:type="spellEnd"/>
      <w:r w:rsidRPr="0030606E">
        <w:rPr>
          <w:rFonts w:ascii="Arial" w:hAnsi="Arial" w:cs="Arial"/>
          <w:sz w:val="22"/>
          <w:szCs w:val="22"/>
        </w:rPr>
        <w:t xml:space="preserve"> 60 Thermal Cyclers with Exchangeable Blocks</w:t>
      </w:r>
    </w:p>
    <w:p w14:paraId="56D6CA7B" w14:textId="77777777" w:rsidR="0005785E" w:rsidRPr="0030606E" w:rsidRDefault="0005785E" w:rsidP="0005785E">
      <w:pPr>
        <w:pStyle w:val="ListParagraph"/>
        <w:numPr>
          <w:ilvl w:val="0"/>
          <w:numId w:val="9"/>
        </w:numPr>
        <w:spacing w:after="120"/>
        <w:ind w:left="360"/>
        <w:rPr>
          <w:rFonts w:ascii="Arial" w:hAnsi="Arial" w:cs="Arial"/>
          <w:sz w:val="22"/>
          <w:szCs w:val="22"/>
        </w:rPr>
      </w:pPr>
      <w:r w:rsidRPr="0030606E">
        <w:rPr>
          <w:rFonts w:ascii="Arial" w:hAnsi="Arial" w:cs="Arial"/>
          <w:sz w:val="22"/>
          <w:szCs w:val="22"/>
        </w:rPr>
        <w:t>Affymetrix Microarray - 7G scanner, hybridization oven, fluidics station</w:t>
      </w:r>
    </w:p>
    <w:p w14:paraId="4B6126C8" w14:textId="325E5451" w:rsidR="00666771" w:rsidRPr="0030606E" w:rsidRDefault="00666771" w:rsidP="00666771">
      <w:pPr>
        <w:pStyle w:val="Body"/>
        <w:rPr>
          <w:rFonts w:cs="Arial"/>
        </w:rPr>
      </w:pPr>
      <w:r w:rsidRPr="0030606E">
        <w:rPr>
          <w:rFonts w:cs="Arial"/>
          <w:u w:val="single"/>
        </w:rPr>
        <w:t>Bioinformatics Shared Resource</w:t>
      </w:r>
      <w:r w:rsidR="00DA181E" w:rsidRPr="0030606E">
        <w:rPr>
          <w:rFonts w:cs="Arial"/>
          <w:u w:val="single"/>
        </w:rPr>
        <w:t xml:space="preserve"> (BSR)</w:t>
      </w:r>
      <w:r w:rsidRPr="0030606E">
        <w:rPr>
          <w:rFonts w:cs="Arial"/>
        </w:rPr>
        <w:t xml:space="preserve">: The wide range services offered include experimental design for genomics-based research, and analysis of </w:t>
      </w:r>
      <w:r w:rsidR="00DA181E" w:rsidRPr="0030606E">
        <w:rPr>
          <w:rFonts w:cs="Arial"/>
        </w:rPr>
        <w:t xml:space="preserve">all types of </w:t>
      </w:r>
      <w:r w:rsidRPr="0030606E">
        <w:rPr>
          <w:rFonts w:cs="Arial"/>
        </w:rPr>
        <w:t>next-generation sequencing data including</w:t>
      </w:r>
      <w:r w:rsidR="00DA181E" w:rsidRPr="0030606E">
        <w:rPr>
          <w:rFonts w:cs="Arial"/>
        </w:rPr>
        <w:t xml:space="preserve"> </w:t>
      </w:r>
      <w:r w:rsidRPr="0030606E">
        <w:rPr>
          <w:rFonts w:cs="Arial"/>
        </w:rPr>
        <w:t xml:space="preserve">metagenomics. In addition, the </w:t>
      </w:r>
      <w:r w:rsidR="00DA181E" w:rsidRPr="0030606E">
        <w:rPr>
          <w:rFonts w:cs="Arial"/>
        </w:rPr>
        <w:t>BSR</w:t>
      </w:r>
      <w:r w:rsidRPr="0030606E">
        <w:rPr>
          <w:rFonts w:cs="Arial"/>
        </w:rPr>
        <w:t xml:space="preserve"> supports microarray and other array-based assays.</w:t>
      </w:r>
    </w:p>
    <w:p w14:paraId="69199375" w14:textId="2D24F386" w:rsidR="00666771" w:rsidRPr="0030606E" w:rsidRDefault="00666771" w:rsidP="00666771">
      <w:pPr>
        <w:pStyle w:val="Body"/>
        <w:spacing w:after="0"/>
        <w:rPr>
          <w:rFonts w:cs="Arial"/>
        </w:rPr>
      </w:pPr>
      <w:r w:rsidRPr="0030606E">
        <w:rPr>
          <w:rFonts w:cs="Arial"/>
        </w:rPr>
        <w:t>The BS</w:t>
      </w:r>
      <w:r w:rsidR="00DA181E" w:rsidRPr="0030606E">
        <w:rPr>
          <w:rFonts w:cs="Arial"/>
        </w:rPr>
        <w:t>R</w:t>
      </w:r>
      <w:r w:rsidRPr="0030606E">
        <w:rPr>
          <w:rFonts w:cs="Arial"/>
        </w:rPr>
        <w:t xml:space="preserve"> provides cutting edge bioinformatics analysis that includes </w:t>
      </w:r>
      <w:r w:rsidR="00DA181E" w:rsidRPr="0030606E">
        <w:rPr>
          <w:rFonts w:cs="Arial"/>
        </w:rPr>
        <w:t xml:space="preserve">data processing, </w:t>
      </w:r>
      <w:r w:rsidRPr="0030606E">
        <w:rPr>
          <w:rFonts w:cs="Arial"/>
        </w:rPr>
        <w:t xml:space="preserve">visualization, archival storage, and deposition in public repositories. Services also include </w:t>
      </w:r>
      <w:r w:rsidR="00DA181E" w:rsidRPr="0030606E">
        <w:rPr>
          <w:rFonts w:cs="Arial"/>
        </w:rPr>
        <w:t>data quality</w:t>
      </w:r>
      <w:r w:rsidRPr="0030606E">
        <w:rPr>
          <w:rFonts w:cs="Arial"/>
        </w:rPr>
        <w:t xml:space="preserve"> assessment, calculation of probe set statistics, sequence reads, alignment to a reference genome, variant calls, linear modeling, and multivariate analysis. Resource staff can provide text describing methodology, figures for manuscripts, and can deposit data into public databases. In addition to providing established resources, staff assist in implementing new bioinformatics tools to provide innovative solutions for bioinformatics challenges as they occur. Resource personnel also support use of tools associated with the Vermont Advanced Computing Cluster (VACC), a multi-core cluster that will run </w:t>
      </w:r>
      <w:proofErr w:type="gramStart"/>
      <w:r w:rsidRPr="0030606E">
        <w:rPr>
          <w:rFonts w:cs="Arial"/>
        </w:rPr>
        <w:t>computational</w:t>
      </w:r>
      <w:proofErr w:type="gramEnd"/>
      <w:r w:rsidRPr="0030606E">
        <w:rPr>
          <w:rFonts w:cs="Arial"/>
        </w:rPr>
        <w:t xml:space="preserve"> intensive applications. </w:t>
      </w:r>
    </w:p>
    <w:p w14:paraId="67DF12CC" w14:textId="22A748C0" w:rsidR="00666771" w:rsidRPr="0030606E" w:rsidRDefault="00666771" w:rsidP="00582347">
      <w:pPr>
        <w:pStyle w:val="Body"/>
        <w:spacing w:before="120"/>
        <w:rPr>
          <w:rFonts w:cs="Arial"/>
        </w:rPr>
      </w:pPr>
      <w:r w:rsidRPr="0030606E">
        <w:rPr>
          <w:rFonts w:cs="Arial"/>
        </w:rPr>
        <w:t xml:space="preserve">The </w:t>
      </w:r>
      <w:r w:rsidR="00DA181E" w:rsidRPr="0030606E">
        <w:rPr>
          <w:rFonts w:cs="Arial"/>
        </w:rPr>
        <w:t>BSR</w:t>
      </w:r>
      <w:r w:rsidRPr="0030606E">
        <w:rPr>
          <w:rFonts w:cs="Arial"/>
        </w:rPr>
        <w:t xml:space="preserve"> has infrastructure to support analyses of multiple and integrated data types and leverages the </w:t>
      </w:r>
      <w:r w:rsidR="00DA181E" w:rsidRPr="0030606E">
        <w:rPr>
          <w:rFonts w:cs="Arial"/>
        </w:rPr>
        <w:t xml:space="preserve">VACC </w:t>
      </w:r>
      <w:r w:rsidRPr="0030606E">
        <w:rPr>
          <w:rFonts w:cs="Arial"/>
        </w:rPr>
        <w:t xml:space="preserve">for high performance computing and data storage.  </w:t>
      </w:r>
      <w:r w:rsidR="00420A6C" w:rsidRPr="0030606E">
        <w:rPr>
          <w:rFonts w:cs="Arial"/>
        </w:rPr>
        <w:t>Major equipment includes</w:t>
      </w:r>
      <w:r w:rsidRPr="0030606E">
        <w:rPr>
          <w:rFonts w:cs="Arial"/>
        </w:rPr>
        <w:t>:</w:t>
      </w:r>
    </w:p>
    <w:p w14:paraId="51C68E21" w14:textId="04EA766C" w:rsidR="001E589D" w:rsidRPr="0030606E" w:rsidRDefault="00235E8D" w:rsidP="001E589D">
      <w:pPr>
        <w:pStyle w:val="ListBulletnospace"/>
        <w:ind w:left="360" w:hanging="360"/>
        <w:rPr>
          <w:rFonts w:cs="Arial"/>
        </w:rPr>
      </w:pPr>
      <w:r w:rsidRPr="0030606E">
        <w:rPr>
          <w:rFonts w:cs="Arial"/>
          <w:b/>
          <w:bCs/>
        </w:rPr>
        <w:t>10 dedicated multi-core processing nodes</w:t>
      </w:r>
      <w:r w:rsidRPr="0030606E">
        <w:rPr>
          <w:rFonts w:cs="Arial"/>
        </w:rPr>
        <w:t xml:space="preserve"> (</w:t>
      </w:r>
      <w:r w:rsidRPr="0030606E">
        <w:rPr>
          <w:rFonts w:cs="Arial"/>
          <w:iCs/>
        </w:rPr>
        <w:t>2-</w:t>
      </w:r>
      <w:r w:rsidR="001E589D" w:rsidRPr="0030606E">
        <w:rPr>
          <w:rFonts w:cs="Arial"/>
          <w:iCs/>
        </w:rPr>
        <w:t xml:space="preserve">20-core (256 GB RAM) </w:t>
      </w:r>
      <w:r w:rsidRPr="0030606E">
        <w:rPr>
          <w:rFonts w:cs="Arial"/>
          <w:iCs/>
        </w:rPr>
        <w:t>and 8-</w:t>
      </w:r>
      <w:r w:rsidR="001E589D" w:rsidRPr="0030606E">
        <w:rPr>
          <w:rFonts w:cs="Arial"/>
        </w:rPr>
        <w:t>12-core (32GB RAM)</w:t>
      </w:r>
      <w:r w:rsidR="001E589D" w:rsidRPr="0030606E">
        <w:rPr>
          <w:rFonts w:cs="Arial"/>
          <w:iCs/>
        </w:rPr>
        <w:t xml:space="preserve">, </w:t>
      </w:r>
      <w:r w:rsidR="001E589D" w:rsidRPr="0030606E">
        <w:rPr>
          <w:rFonts w:cs="Arial"/>
        </w:rPr>
        <w:t xml:space="preserve">and </w:t>
      </w:r>
      <w:r w:rsidR="001E589D" w:rsidRPr="0030606E">
        <w:rPr>
          <w:rFonts w:cs="Arial"/>
          <w:b/>
          <w:bCs/>
        </w:rPr>
        <w:t>30 TB storage</w:t>
      </w:r>
      <w:r w:rsidR="001E589D" w:rsidRPr="0030606E">
        <w:rPr>
          <w:rFonts w:cs="Arial"/>
        </w:rPr>
        <w:t xml:space="preserve"> in the Vermont Advanced Computing Core cluster (VACC).</w:t>
      </w:r>
    </w:p>
    <w:p w14:paraId="49476B58" w14:textId="519D4855" w:rsidR="001E589D" w:rsidRPr="0030606E" w:rsidRDefault="001E589D" w:rsidP="001E589D">
      <w:pPr>
        <w:pStyle w:val="ListBulletnospace"/>
        <w:ind w:left="360" w:hanging="360"/>
        <w:rPr>
          <w:rFonts w:cs="Arial"/>
        </w:rPr>
      </w:pPr>
      <w:r w:rsidRPr="0030606E">
        <w:rPr>
          <w:rFonts w:cs="Arial"/>
        </w:rPr>
        <w:t>A</w:t>
      </w:r>
      <w:r w:rsidR="00235E8D" w:rsidRPr="0030606E">
        <w:rPr>
          <w:rFonts w:cs="Arial"/>
        </w:rPr>
        <w:t>n</w:t>
      </w:r>
      <w:r w:rsidRPr="0030606E">
        <w:rPr>
          <w:rFonts w:cs="Arial"/>
        </w:rPr>
        <w:t xml:space="preserve"> </w:t>
      </w:r>
      <w:r w:rsidR="00235E8D" w:rsidRPr="0030606E">
        <w:rPr>
          <w:rFonts w:cs="Arial"/>
          <w:b/>
          <w:bCs/>
        </w:rPr>
        <w:t>independent</w:t>
      </w:r>
      <w:r w:rsidRPr="0030606E">
        <w:rPr>
          <w:rFonts w:cs="Arial"/>
          <w:b/>
          <w:bCs/>
        </w:rPr>
        <w:t xml:space="preserve"> </w:t>
      </w:r>
      <w:r w:rsidR="00235E8D" w:rsidRPr="0030606E">
        <w:rPr>
          <w:rFonts w:cs="Arial"/>
          <w:b/>
          <w:bCs/>
        </w:rPr>
        <w:t xml:space="preserve">VIGR </w:t>
      </w:r>
      <w:r w:rsidRPr="0030606E">
        <w:rPr>
          <w:rFonts w:cs="Arial"/>
          <w:b/>
          <w:bCs/>
        </w:rPr>
        <w:t>queue</w:t>
      </w:r>
      <w:r w:rsidRPr="0030606E">
        <w:rPr>
          <w:rFonts w:cs="Arial"/>
        </w:rPr>
        <w:t xml:space="preserve"> on the </w:t>
      </w:r>
      <w:proofErr w:type="gramStart"/>
      <w:r w:rsidRPr="0030606E">
        <w:rPr>
          <w:rFonts w:cs="Arial"/>
        </w:rPr>
        <w:t>high performance</w:t>
      </w:r>
      <w:proofErr w:type="gramEnd"/>
      <w:r w:rsidRPr="0030606E">
        <w:rPr>
          <w:rFonts w:cs="Arial"/>
        </w:rPr>
        <w:t xml:space="preserve"> compute cluster so our jobs start immediately and are not interrupted by smaller, lower memory requiring jobs.</w:t>
      </w:r>
    </w:p>
    <w:p w14:paraId="53EDE343" w14:textId="0D7C35A6" w:rsidR="001E589D" w:rsidRPr="0030606E" w:rsidRDefault="001E589D" w:rsidP="001E589D">
      <w:pPr>
        <w:pStyle w:val="ListBulletnospace"/>
        <w:ind w:left="360" w:hanging="360"/>
        <w:rPr>
          <w:rFonts w:cs="Arial"/>
        </w:rPr>
      </w:pPr>
      <w:r w:rsidRPr="0030606E">
        <w:rPr>
          <w:rFonts w:cs="Arial"/>
          <w:b/>
          <w:bCs/>
        </w:rPr>
        <w:t xml:space="preserve">50 TB of secure long-term </w:t>
      </w:r>
      <w:r w:rsidR="00235E8D" w:rsidRPr="0030606E">
        <w:rPr>
          <w:rFonts w:cs="Arial"/>
          <w:b/>
          <w:bCs/>
        </w:rPr>
        <w:t xml:space="preserve">archival </w:t>
      </w:r>
      <w:r w:rsidRPr="0030606E">
        <w:rPr>
          <w:rFonts w:cs="Arial"/>
          <w:b/>
          <w:bCs/>
        </w:rPr>
        <w:t>storage</w:t>
      </w:r>
      <w:r w:rsidRPr="0030606E">
        <w:rPr>
          <w:rFonts w:cs="Arial"/>
        </w:rPr>
        <w:t xml:space="preserve"> provided by ETS. The entire 50 TB is backed up on a three-month rotating schedule to provide archival backup capability.  </w:t>
      </w:r>
    </w:p>
    <w:p w14:paraId="7A4250A3" w14:textId="360C3709" w:rsidR="001E589D" w:rsidRPr="0030606E" w:rsidRDefault="001E589D" w:rsidP="00DA181E">
      <w:pPr>
        <w:pStyle w:val="ListBulletnospace"/>
        <w:ind w:left="360" w:hanging="360"/>
        <w:rPr>
          <w:rFonts w:cs="Arial"/>
        </w:rPr>
      </w:pPr>
      <w:r w:rsidRPr="0030606E">
        <w:rPr>
          <w:rFonts w:cs="Arial"/>
          <w:b/>
          <w:bCs/>
        </w:rPr>
        <w:t>8 TB local external storage</w:t>
      </w:r>
      <w:r w:rsidRPr="0030606E">
        <w:rPr>
          <w:rFonts w:cs="Arial"/>
        </w:rPr>
        <w:t>, configured as a RAID array providing 3.25TB mirrored working space for project files, and a 1.5 TB hourly desktop backup.</w:t>
      </w:r>
    </w:p>
    <w:p w14:paraId="75E6BBD2" w14:textId="4C6DF043" w:rsidR="00235E8D" w:rsidRPr="0030606E" w:rsidRDefault="001E589D" w:rsidP="00582347">
      <w:pPr>
        <w:pStyle w:val="Body"/>
        <w:spacing w:before="120"/>
        <w:rPr>
          <w:rFonts w:cs="Arial"/>
        </w:rPr>
      </w:pPr>
      <w:r w:rsidRPr="0030606E">
        <w:rPr>
          <w:rFonts w:cs="Arial"/>
        </w:rPr>
        <w:t xml:space="preserve">The VACC provides </w:t>
      </w:r>
      <w:r w:rsidR="00DA181E" w:rsidRPr="0030606E">
        <w:rPr>
          <w:rFonts w:cs="Arial"/>
        </w:rPr>
        <w:t>access to two HPCs</w:t>
      </w:r>
    </w:p>
    <w:p w14:paraId="67F4018E" w14:textId="2E575B56" w:rsidR="00DA181E" w:rsidRPr="0030606E" w:rsidRDefault="00235E8D" w:rsidP="0005785E">
      <w:pPr>
        <w:pStyle w:val="Body"/>
        <w:numPr>
          <w:ilvl w:val="0"/>
          <w:numId w:val="10"/>
        </w:numPr>
        <w:rPr>
          <w:rFonts w:cs="Arial"/>
        </w:rPr>
      </w:pPr>
      <w:r w:rsidRPr="0030606E">
        <w:rPr>
          <w:rFonts w:cs="Arial"/>
        </w:rPr>
        <w:t>“</w:t>
      </w:r>
      <w:proofErr w:type="spellStart"/>
      <w:r w:rsidRPr="0030606E">
        <w:rPr>
          <w:rFonts w:cs="Arial"/>
        </w:rPr>
        <w:t>Bluemoon</w:t>
      </w:r>
      <w:proofErr w:type="spellEnd"/>
      <w:r w:rsidRPr="0030606E">
        <w:rPr>
          <w:rFonts w:cs="Arial"/>
        </w:rPr>
        <w:t xml:space="preserve">,” </w:t>
      </w:r>
      <w:r w:rsidR="001E589D" w:rsidRPr="0030606E">
        <w:rPr>
          <w:rFonts w:cs="Arial"/>
        </w:rPr>
        <w:t xml:space="preserve">a </w:t>
      </w:r>
      <w:r w:rsidR="001E589D" w:rsidRPr="0030606E">
        <w:rPr>
          <w:rFonts w:cs="Arial"/>
          <w:b/>
          <w:bCs/>
        </w:rPr>
        <w:t>multi-thousand-core</w:t>
      </w:r>
      <w:r w:rsidR="001E589D" w:rsidRPr="0030606E">
        <w:rPr>
          <w:rFonts w:cs="Arial"/>
        </w:rPr>
        <w:t>, high-performance computing cluster</w:t>
      </w:r>
      <w:r w:rsidR="00DA181E" w:rsidRPr="0030606E">
        <w:rPr>
          <w:rFonts w:cs="Arial"/>
        </w:rPr>
        <w:t>,</w:t>
      </w:r>
      <w:r w:rsidR="001E589D" w:rsidRPr="0030606E">
        <w:rPr>
          <w:rFonts w:cs="Arial"/>
        </w:rPr>
        <w:t xml:space="preserve"> supporting large-scale computation, low-latency networking for MPI workloads, large memory systems, and </w:t>
      </w:r>
      <w:proofErr w:type="gramStart"/>
      <w:r w:rsidR="001E589D" w:rsidRPr="0030606E">
        <w:rPr>
          <w:rFonts w:cs="Arial"/>
        </w:rPr>
        <w:t>high performance</w:t>
      </w:r>
      <w:proofErr w:type="gramEnd"/>
      <w:r w:rsidR="001E589D" w:rsidRPr="0030606E">
        <w:rPr>
          <w:rFonts w:cs="Arial"/>
        </w:rPr>
        <w:t xml:space="preserve"> parallel file</w:t>
      </w:r>
      <w:r w:rsidR="00DA181E" w:rsidRPr="0030606E">
        <w:rPr>
          <w:rFonts w:cs="Arial"/>
        </w:rPr>
        <w:t xml:space="preserve"> </w:t>
      </w:r>
      <w:r w:rsidR="001E589D" w:rsidRPr="0030606E">
        <w:rPr>
          <w:rFonts w:cs="Arial"/>
        </w:rPr>
        <w:t xml:space="preserve">systems. </w:t>
      </w:r>
    </w:p>
    <w:p w14:paraId="38606592" w14:textId="7D6DF906" w:rsidR="00B03AD5" w:rsidRPr="0030606E" w:rsidRDefault="00235E8D" w:rsidP="00DA181E">
      <w:pPr>
        <w:pStyle w:val="Body"/>
        <w:numPr>
          <w:ilvl w:val="0"/>
          <w:numId w:val="10"/>
        </w:numPr>
        <w:rPr>
          <w:rFonts w:cs="Arial"/>
          <w:b/>
        </w:rPr>
      </w:pPr>
      <w:r w:rsidRPr="0030606E">
        <w:rPr>
          <w:rFonts w:cs="Arial"/>
        </w:rPr>
        <w:t xml:space="preserve">“Big Green,” </w:t>
      </w:r>
      <w:r w:rsidR="001E589D" w:rsidRPr="0030606E">
        <w:rPr>
          <w:rFonts w:cs="Arial"/>
        </w:rPr>
        <w:t xml:space="preserve">a </w:t>
      </w:r>
      <w:r w:rsidR="001E589D" w:rsidRPr="0030606E">
        <w:rPr>
          <w:rFonts w:cs="Arial"/>
          <w:b/>
          <w:bCs/>
        </w:rPr>
        <w:t>massively parallel cluster composed of over 70 GPUs</w:t>
      </w:r>
      <w:r w:rsidR="001E589D" w:rsidRPr="0030606E">
        <w:rPr>
          <w:rFonts w:cs="Arial"/>
        </w:rPr>
        <w:t xml:space="preserve"> capable of over 8 petaflops of mixed precision calculations based on the NVIDIA Tesla V100 architecture. Its hybrid design </w:t>
      </w:r>
      <w:r w:rsidR="00DA181E" w:rsidRPr="0030606E">
        <w:rPr>
          <w:rFonts w:cs="Arial"/>
        </w:rPr>
        <w:t xml:space="preserve">and </w:t>
      </w:r>
      <w:r w:rsidR="00DA181E" w:rsidRPr="0030606E">
        <w:rPr>
          <w:rFonts w:cs="Arial"/>
        </w:rPr>
        <w:lastRenderedPageBreak/>
        <w:t xml:space="preserve">parallelism </w:t>
      </w:r>
      <w:r w:rsidR="001E589D" w:rsidRPr="0030606E">
        <w:rPr>
          <w:rFonts w:cs="Arial"/>
        </w:rPr>
        <w:t xml:space="preserve">can expedite </w:t>
      </w:r>
      <w:r w:rsidR="00DA181E" w:rsidRPr="0030606E">
        <w:rPr>
          <w:rFonts w:cs="Arial"/>
        </w:rPr>
        <w:t xml:space="preserve">and support </w:t>
      </w:r>
      <w:r w:rsidR="001E589D" w:rsidRPr="0030606E">
        <w:rPr>
          <w:rFonts w:cs="Arial"/>
        </w:rPr>
        <w:t>high-throughput artificial intelligence and machine learning workflows</w:t>
      </w:r>
      <w:r w:rsidR="00DA181E" w:rsidRPr="0030606E">
        <w:rPr>
          <w:rFonts w:cs="Arial"/>
        </w:rPr>
        <w:t>.</w:t>
      </w:r>
    </w:p>
    <w:sectPr w:rsidR="00B03AD5" w:rsidRPr="0030606E" w:rsidSect="007D0C2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7DC2" w14:textId="77777777" w:rsidR="004D2FC8" w:rsidRDefault="004D2FC8" w:rsidP="007D0C23">
      <w:r>
        <w:separator/>
      </w:r>
    </w:p>
  </w:endnote>
  <w:endnote w:type="continuationSeparator" w:id="0">
    <w:p w14:paraId="50AABE4D" w14:textId="77777777" w:rsidR="004D2FC8" w:rsidRDefault="004D2FC8" w:rsidP="007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2EFF" w:usb1="D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2F2E" w14:textId="77777777" w:rsidR="008B7331" w:rsidRDefault="008B7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2324" w14:textId="77777777" w:rsidR="008B7331" w:rsidRDefault="008B7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0314" w14:textId="77777777" w:rsidR="008B7331" w:rsidRDefault="008B7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AA191" w14:textId="77777777" w:rsidR="004D2FC8" w:rsidRDefault="004D2FC8" w:rsidP="007D0C23">
      <w:r>
        <w:separator/>
      </w:r>
    </w:p>
  </w:footnote>
  <w:footnote w:type="continuationSeparator" w:id="0">
    <w:p w14:paraId="0BF96B78" w14:textId="77777777" w:rsidR="004D2FC8" w:rsidRDefault="004D2FC8" w:rsidP="007D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CED4A" w14:textId="77777777" w:rsidR="008B7331" w:rsidRDefault="008B7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5E46" w14:textId="77777777" w:rsidR="00EC02AA" w:rsidRPr="009700FA" w:rsidRDefault="00EC02AA" w:rsidP="00EC02AA">
    <w:pPr>
      <w:pStyle w:val="Header"/>
      <w:rPr>
        <w:rFonts w:ascii="Arial" w:hAnsi="Arial" w:cs="Arial"/>
      </w:rPr>
    </w:pPr>
    <w:r w:rsidRPr="009700FA">
      <w:rPr>
        <w:rFonts w:ascii="Arial" w:hAnsi="Arial" w:cs="Arial"/>
      </w:rPr>
      <w:t>Updated: February 2021</w:t>
    </w:r>
  </w:p>
  <w:p w14:paraId="76C9A3B4" w14:textId="77777777" w:rsidR="00EC02AA" w:rsidRPr="009700FA" w:rsidRDefault="00EC02AA" w:rsidP="00EC02AA">
    <w:pPr>
      <w:pStyle w:val="Header"/>
      <w:rPr>
        <w:rStyle w:val="Hyperlink"/>
        <w:rFonts w:ascii="Arial" w:hAnsi="Arial" w:cs="Arial"/>
      </w:rPr>
    </w:pPr>
    <w:r w:rsidRPr="009700FA">
      <w:rPr>
        <w:rFonts w:ascii="Arial" w:hAnsi="Arial" w:cs="Arial"/>
      </w:rPr>
      <w:t xml:space="preserve">Contact: </w:t>
    </w:r>
    <w:hyperlink r:id="rId1" w:history="1">
      <w:r w:rsidRPr="009700FA">
        <w:rPr>
          <w:rStyle w:val="Hyperlink"/>
          <w:rFonts w:ascii="Arial" w:hAnsi="Arial" w:cs="Arial"/>
        </w:rPr>
        <w:t>edward.north@uvm.edu</w:t>
      </w:r>
    </w:hyperlink>
  </w:p>
  <w:p w14:paraId="309A2F65" w14:textId="77777777" w:rsidR="00EC02AA" w:rsidRPr="009700FA" w:rsidRDefault="00EC02AA" w:rsidP="00EC02AA">
    <w:pPr>
      <w:pStyle w:val="Header"/>
      <w:rPr>
        <w:rFonts w:ascii="Arial" w:hAnsi="Arial" w:cs="Arial"/>
      </w:rPr>
    </w:pPr>
  </w:p>
  <w:p w14:paraId="26190B09" w14:textId="77777777" w:rsidR="00EC02AA" w:rsidRPr="009700FA" w:rsidRDefault="00EC02AA" w:rsidP="00EC02AA">
    <w:pPr>
      <w:rPr>
        <w:rFonts w:ascii="Arial" w:hAnsi="Arial" w:cs="Arial"/>
      </w:rPr>
    </w:pPr>
    <w:r w:rsidRPr="009700FA">
      <w:rPr>
        <w:rFonts w:ascii="Arial" w:hAnsi="Arial" w:cs="Arial"/>
      </w:rPr>
      <w:t xml:space="preserve">The “boilerplate” description provided below is primarily intended for use in grant </w:t>
    </w:r>
    <w:r>
      <w:rPr>
        <w:rFonts w:ascii="Arial" w:hAnsi="Arial" w:cs="Arial"/>
      </w:rPr>
      <w:t>proposals</w:t>
    </w:r>
    <w:r w:rsidRPr="009700FA">
      <w:rPr>
        <w:rFonts w:ascii="Arial" w:hAnsi="Arial" w:cs="Arial"/>
      </w:rPr>
      <w:t xml:space="preserve">, including the “Facilities &amp; Resources” section of NIH funding applications. </w:t>
    </w:r>
  </w:p>
  <w:p w14:paraId="29C92DD7" w14:textId="77777777" w:rsidR="00EC02AA" w:rsidRPr="009700FA" w:rsidRDefault="00EC02AA" w:rsidP="00EC02AA">
    <w:pPr>
      <w:rPr>
        <w:rFonts w:ascii="Arial" w:hAnsi="Arial" w:cs="Arial"/>
        <w:b/>
        <w:bCs/>
      </w:rPr>
    </w:pPr>
    <w:r w:rsidRPr="009700FA">
      <w:rPr>
        <w:rFonts w:ascii="Arial" w:hAnsi="Arial" w:cs="Arial"/>
        <w:b/>
        <w:bCs/>
        <w:i/>
        <w:iCs/>
      </w:rPr>
      <w:t>Users are strongly urged to personalize the description to the greatest extent possible by adding details such as a history of collaboration resulting in publications and/or funded research awards.</w:t>
    </w:r>
  </w:p>
  <w:p w14:paraId="6A0879D0" w14:textId="77777777" w:rsidR="007D0C23" w:rsidRPr="00EC02AA" w:rsidRDefault="007D0C23" w:rsidP="00EC0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91FD" w14:textId="77777777" w:rsidR="008B7331" w:rsidRDefault="008B7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E12B3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0A1D35"/>
    <w:multiLevelType w:val="hybridMultilevel"/>
    <w:tmpl w:val="6B260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B3FCB"/>
    <w:multiLevelType w:val="multilevel"/>
    <w:tmpl w:val="123A7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5267C"/>
    <w:multiLevelType w:val="hybridMultilevel"/>
    <w:tmpl w:val="27D2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F015D"/>
    <w:multiLevelType w:val="hybridMultilevel"/>
    <w:tmpl w:val="0F7E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06861"/>
    <w:multiLevelType w:val="hybridMultilevel"/>
    <w:tmpl w:val="549A2FAA"/>
    <w:lvl w:ilvl="0" w:tplc="E5D0F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05000"/>
    <w:multiLevelType w:val="hybridMultilevel"/>
    <w:tmpl w:val="8FF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07B96"/>
    <w:multiLevelType w:val="hybridMultilevel"/>
    <w:tmpl w:val="09BA8AF4"/>
    <w:lvl w:ilvl="0" w:tplc="5D64285C">
      <w:start w:val="1"/>
      <w:numFmt w:val="bullet"/>
      <w:pStyle w:val="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96113"/>
    <w:multiLevelType w:val="hybridMultilevel"/>
    <w:tmpl w:val="DC36C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7A4D22"/>
    <w:multiLevelType w:val="hybridMultilevel"/>
    <w:tmpl w:val="8E3E889E"/>
    <w:lvl w:ilvl="0" w:tplc="E5D0F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5"/>
  </w:num>
  <w:num w:numId="6">
    <w:abstractNumId w:val="7"/>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C0"/>
    <w:rsid w:val="0005785E"/>
    <w:rsid w:val="000C19C0"/>
    <w:rsid w:val="000C646B"/>
    <w:rsid w:val="000C6809"/>
    <w:rsid w:val="000F780B"/>
    <w:rsid w:val="00146CB2"/>
    <w:rsid w:val="0019504C"/>
    <w:rsid w:val="001E51D7"/>
    <w:rsid w:val="001E589D"/>
    <w:rsid w:val="00214368"/>
    <w:rsid w:val="00235E8D"/>
    <w:rsid w:val="002768C0"/>
    <w:rsid w:val="002E190D"/>
    <w:rsid w:val="0030606E"/>
    <w:rsid w:val="00341D7C"/>
    <w:rsid w:val="00396D0E"/>
    <w:rsid w:val="003D4BA8"/>
    <w:rsid w:val="003E44A0"/>
    <w:rsid w:val="00420A6C"/>
    <w:rsid w:val="004D2FC8"/>
    <w:rsid w:val="00582347"/>
    <w:rsid w:val="00591FB3"/>
    <w:rsid w:val="005B0BC7"/>
    <w:rsid w:val="005D2307"/>
    <w:rsid w:val="005F0497"/>
    <w:rsid w:val="005F610C"/>
    <w:rsid w:val="006606E1"/>
    <w:rsid w:val="00666771"/>
    <w:rsid w:val="00667121"/>
    <w:rsid w:val="00697536"/>
    <w:rsid w:val="007515F1"/>
    <w:rsid w:val="007676F2"/>
    <w:rsid w:val="007D0C23"/>
    <w:rsid w:val="007E7C59"/>
    <w:rsid w:val="0085647F"/>
    <w:rsid w:val="008B7331"/>
    <w:rsid w:val="008D239D"/>
    <w:rsid w:val="00986916"/>
    <w:rsid w:val="009954FA"/>
    <w:rsid w:val="009C2FC4"/>
    <w:rsid w:val="009E61B8"/>
    <w:rsid w:val="00A16AC5"/>
    <w:rsid w:val="00AD0856"/>
    <w:rsid w:val="00B03AD5"/>
    <w:rsid w:val="00C05675"/>
    <w:rsid w:val="00C70FAE"/>
    <w:rsid w:val="00CF0CDE"/>
    <w:rsid w:val="00D1519D"/>
    <w:rsid w:val="00D34008"/>
    <w:rsid w:val="00D36BF2"/>
    <w:rsid w:val="00D61C3D"/>
    <w:rsid w:val="00D819B7"/>
    <w:rsid w:val="00DA181E"/>
    <w:rsid w:val="00E40557"/>
    <w:rsid w:val="00E82476"/>
    <w:rsid w:val="00EC02AA"/>
    <w:rsid w:val="00F0382C"/>
    <w:rsid w:val="00F139F2"/>
    <w:rsid w:val="00F811E3"/>
    <w:rsid w:val="00FC68E1"/>
    <w:rsid w:val="00FD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AA4873"/>
  <w14:defaultImageDpi w14:val="300"/>
  <w15:docId w15:val="{D6CE7816-3BE7-4B35-AAE4-AD1256C9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4BA8"/>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3D4BA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AD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819B7"/>
    <w:rPr>
      <w:color w:val="0000FF" w:themeColor="hyperlink"/>
      <w:u w:val="single"/>
    </w:rPr>
  </w:style>
  <w:style w:type="paragraph" w:customStyle="1" w:styleId="intro">
    <w:name w:val="intro"/>
    <w:basedOn w:val="Normal"/>
    <w:rsid w:val="0085647F"/>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3D4BA8"/>
    <w:rPr>
      <w:rFonts w:ascii="Times" w:hAnsi="Times"/>
      <w:b/>
      <w:bCs/>
      <w:sz w:val="36"/>
      <w:szCs w:val="36"/>
    </w:rPr>
  </w:style>
  <w:style w:type="character" w:customStyle="1" w:styleId="Heading4Char">
    <w:name w:val="Heading 4 Char"/>
    <w:basedOn w:val="DefaultParagraphFont"/>
    <w:link w:val="Heading4"/>
    <w:uiPriority w:val="9"/>
    <w:rsid w:val="003D4BA8"/>
    <w:rPr>
      <w:rFonts w:ascii="Times" w:hAnsi="Times"/>
      <w:b/>
      <w:bCs/>
    </w:rPr>
  </w:style>
  <w:style w:type="paragraph" w:styleId="ListParagraph">
    <w:name w:val="List Paragraph"/>
    <w:basedOn w:val="Normal"/>
    <w:uiPriority w:val="34"/>
    <w:qFormat/>
    <w:rsid w:val="003D4BA8"/>
    <w:pPr>
      <w:ind w:left="720"/>
      <w:contextualSpacing/>
    </w:pPr>
  </w:style>
  <w:style w:type="paragraph" w:customStyle="1" w:styleId="Body">
    <w:name w:val="Body"/>
    <w:link w:val="BodyChar"/>
    <w:qFormat/>
    <w:rsid w:val="00666771"/>
    <w:pPr>
      <w:spacing w:after="120" w:line="264" w:lineRule="auto"/>
    </w:pPr>
    <w:rPr>
      <w:rFonts w:ascii="Arial" w:eastAsia="Calibri" w:hAnsi="Arial" w:cs="Times New Roman"/>
      <w:sz w:val="22"/>
      <w:szCs w:val="22"/>
    </w:rPr>
  </w:style>
  <w:style w:type="paragraph" w:customStyle="1" w:styleId="Head2">
    <w:name w:val="Head 2"/>
    <w:basedOn w:val="Body"/>
    <w:next w:val="Body"/>
    <w:qFormat/>
    <w:rsid w:val="00666771"/>
    <w:pPr>
      <w:keepNext/>
      <w:tabs>
        <w:tab w:val="right" w:pos="10440"/>
      </w:tabs>
      <w:spacing w:before="120" w:after="0"/>
      <w:outlineLvl w:val="2"/>
    </w:pPr>
    <w:rPr>
      <w:b/>
    </w:rPr>
  </w:style>
  <w:style w:type="paragraph" w:customStyle="1" w:styleId="Head3Para">
    <w:name w:val="Head 3 Para"/>
    <w:basedOn w:val="Body"/>
    <w:next w:val="Body"/>
    <w:qFormat/>
    <w:rsid w:val="00666771"/>
    <w:pPr>
      <w:keepNext/>
      <w:tabs>
        <w:tab w:val="right" w:pos="10440"/>
      </w:tabs>
      <w:spacing w:before="60" w:after="0"/>
      <w:outlineLvl w:val="3"/>
    </w:pPr>
    <w:rPr>
      <w:b/>
      <w:i/>
    </w:rPr>
  </w:style>
  <w:style w:type="paragraph" w:customStyle="1" w:styleId="Head1left">
    <w:name w:val="Head 1 left"/>
    <w:basedOn w:val="Normal"/>
    <w:next w:val="Body"/>
    <w:qFormat/>
    <w:rsid w:val="00666771"/>
    <w:pPr>
      <w:keepNext/>
      <w:tabs>
        <w:tab w:val="right" w:pos="10440"/>
      </w:tabs>
      <w:spacing w:before="240" w:after="120" w:line="264" w:lineRule="auto"/>
      <w:outlineLvl w:val="1"/>
    </w:pPr>
    <w:rPr>
      <w:rFonts w:ascii="Arial" w:eastAsia="Calibri" w:hAnsi="Arial" w:cs="Arial"/>
      <w:b/>
      <w:bCs/>
      <w:caps/>
      <w:sz w:val="22"/>
      <w:szCs w:val="22"/>
    </w:rPr>
  </w:style>
  <w:style w:type="paragraph" w:styleId="ListBullet">
    <w:name w:val="List Bullet"/>
    <w:basedOn w:val="Body"/>
    <w:uiPriority w:val="99"/>
    <w:unhideWhenUsed/>
    <w:qFormat/>
    <w:rsid w:val="00666771"/>
    <w:pPr>
      <w:numPr>
        <w:numId w:val="4"/>
      </w:numPr>
      <w:ind w:left="0" w:firstLine="0"/>
    </w:pPr>
  </w:style>
  <w:style w:type="paragraph" w:customStyle="1" w:styleId="ListBulletnospace">
    <w:name w:val="List Bullet no space"/>
    <w:basedOn w:val="ListBullet"/>
    <w:qFormat/>
    <w:rsid w:val="00666771"/>
    <w:pPr>
      <w:spacing w:after="0"/>
      <w:contextualSpacing/>
    </w:pPr>
  </w:style>
  <w:style w:type="paragraph" w:customStyle="1" w:styleId="Bullet2">
    <w:name w:val="Bullet 2"/>
    <w:basedOn w:val="Normal"/>
    <w:qFormat/>
    <w:rsid w:val="00666771"/>
    <w:pPr>
      <w:numPr>
        <w:numId w:val="6"/>
      </w:numPr>
      <w:spacing w:after="120" w:line="264" w:lineRule="auto"/>
      <w:contextualSpacing/>
    </w:pPr>
    <w:rPr>
      <w:rFonts w:ascii="Arial" w:eastAsia="Calibri" w:hAnsi="Arial" w:cs="Times New Roman"/>
      <w:sz w:val="22"/>
      <w:szCs w:val="22"/>
    </w:rPr>
  </w:style>
  <w:style w:type="character" w:customStyle="1" w:styleId="BodyChar">
    <w:name w:val="Body Char"/>
    <w:basedOn w:val="DefaultParagraphFont"/>
    <w:link w:val="Body"/>
    <w:rsid w:val="00666771"/>
    <w:rPr>
      <w:rFonts w:ascii="Arial" w:eastAsia="Calibri" w:hAnsi="Arial" w:cs="Times New Roman"/>
      <w:sz w:val="22"/>
      <w:szCs w:val="22"/>
    </w:rPr>
  </w:style>
  <w:style w:type="paragraph" w:styleId="BalloonText">
    <w:name w:val="Balloon Text"/>
    <w:basedOn w:val="Normal"/>
    <w:link w:val="BalloonTextChar"/>
    <w:uiPriority w:val="99"/>
    <w:semiHidden/>
    <w:unhideWhenUsed/>
    <w:rsid w:val="00396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0E"/>
    <w:rPr>
      <w:rFonts w:ascii="Segoe UI" w:hAnsi="Segoe UI" w:cs="Segoe UI"/>
      <w:sz w:val="18"/>
      <w:szCs w:val="18"/>
    </w:rPr>
  </w:style>
  <w:style w:type="paragraph" w:styleId="CommentText">
    <w:name w:val="annotation text"/>
    <w:basedOn w:val="Normal"/>
    <w:link w:val="CommentTextChar"/>
    <w:uiPriority w:val="99"/>
    <w:semiHidden/>
    <w:unhideWhenUsed/>
    <w:rsid w:val="0005785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785E"/>
    <w:rPr>
      <w:rFonts w:ascii="Times New Roman" w:eastAsia="Times New Roman" w:hAnsi="Times New Roman" w:cs="Times New Roman"/>
      <w:sz w:val="20"/>
      <w:szCs w:val="20"/>
    </w:rPr>
  </w:style>
  <w:style w:type="table" w:styleId="TableGrid">
    <w:name w:val="Table Grid"/>
    <w:basedOn w:val="TableNormal"/>
    <w:uiPriority w:val="59"/>
    <w:rsid w:val="0005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C23"/>
    <w:pPr>
      <w:tabs>
        <w:tab w:val="center" w:pos="4680"/>
        <w:tab w:val="right" w:pos="9360"/>
      </w:tabs>
    </w:pPr>
  </w:style>
  <w:style w:type="character" w:customStyle="1" w:styleId="HeaderChar">
    <w:name w:val="Header Char"/>
    <w:basedOn w:val="DefaultParagraphFont"/>
    <w:link w:val="Header"/>
    <w:uiPriority w:val="99"/>
    <w:rsid w:val="007D0C23"/>
  </w:style>
  <w:style w:type="paragraph" w:styleId="Footer">
    <w:name w:val="footer"/>
    <w:basedOn w:val="Normal"/>
    <w:link w:val="FooterChar"/>
    <w:uiPriority w:val="99"/>
    <w:unhideWhenUsed/>
    <w:rsid w:val="007D0C23"/>
    <w:pPr>
      <w:tabs>
        <w:tab w:val="center" w:pos="4680"/>
        <w:tab w:val="right" w:pos="9360"/>
      </w:tabs>
    </w:pPr>
  </w:style>
  <w:style w:type="character" w:customStyle="1" w:styleId="FooterChar">
    <w:name w:val="Footer Char"/>
    <w:basedOn w:val="DefaultParagraphFont"/>
    <w:link w:val="Footer"/>
    <w:uiPriority w:val="99"/>
    <w:rsid w:val="007D0C23"/>
  </w:style>
  <w:style w:type="character" w:styleId="UnresolvedMention">
    <w:name w:val="Unresolved Mention"/>
    <w:basedOn w:val="DefaultParagraphFont"/>
    <w:uiPriority w:val="99"/>
    <w:semiHidden/>
    <w:unhideWhenUsed/>
    <w:rsid w:val="007D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6004">
      <w:bodyDiv w:val="1"/>
      <w:marLeft w:val="0"/>
      <w:marRight w:val="0"/>
      <w:marTop w:val="0"/>
      <w:marBottom w:val="0"/>
      <w:divBdr>
        <w:top w:val="none" w:sz="0" w:space="0" w:color="auto"/>
        <w:left w:val="none" w:sz="0" w:space="0" w:color="auto"/>
        <w:bottom w:val="none" w:sz="0" w:space="0" w:color="auto"/>
        <w:right w:val="none" w:sz="0" w:space="0" w:color="auto"/>
      </w:divBdr>
    </w:div>
    <w:div w:id="297301725">
      <w:bodyDiv w:val="1"/>
      <w:marLeft w:val="0"/>
      <w:marRight w:val="0"/>
      <w:marTop w:val="0"/>
      <w:marBottom w:val="0"/>
      <w:divBdr>
        <w:top w:val="none" w:sz="0" w:space="0" w:color="auto"/>
        <w:left w:val="none" w:sz="0" w:space="0" w:color="auto"/>
        <w:bottom w:val="none" w:sz="0" w:space="0" w:color="auto"/>
        <w:right w:val="none" w:sz="0" w:space="0" w:color="auto"/>
      </w:divBdr>
    </w:div>
    <w:div w:id="519005618">
      <w:bodyDiv w:val="1"/>
      <w:marLeft w:val="0"/>
      <w:marRight w:val="0"/>
      <w:marTop w:val="0"/>
      <w:marBottom w:val="0"/>
      <w:divBdr>
        <w:top w:val="none" w:sz="0" w:space="0" w:color="auto"/>
        <w:left w:val="none" w:sz="0" w:space="0" w:color="auto"/>
        <w:bottom w:val="none" w:sz="0" w:space="0" w:color="auto"/>
        <w:right w:val="none" w:sz="0" w:space="0" w:color="auto"/>
      </w:divBdr>
      <w:divsChild>
        <w:div w:id="1747025566">
          <w:marLeft w:val="0"/>
          <w:marRight w:val="0"/>
          <w:marTop w:val="0"/>
          <w:marBottom w:val="0"/>
          <w:divBdr>
            <w:top w:val="none" w:sz="0" w:space="0" w:color="auto"/>
            <w:left w:val="none" w:sz="0" w:space="0" w:color="auto"/>
            <w:bottom w:val="none" w:sz="0" w:space="0" w:color="auto"/>
            <w:right w:val="none" w:sz="0" w:space="0" w:color="auto"/>
          </w:divBdr>
        </w:div>
      </w:divsChild>
    </w:div>
    <w:div w:id="572787034">
      <w:bodyDiv w:val="1"/>
      <w:marLeft w:val="0"/>
      <w:marRight w:val="0"/>
      <w:marTop w:val="0"/>
      <w:marBottom w:val="0"/>
      <w:divBdr>
        <w:top w:val="none" w:sz="0" w:space="0" w:color="auto"/>
        <w:left w:val="none" w:sz="0" w:space="0" w:color="auto"/>
        <w:bottom w:val="none" w:sz="0" w:space="0" w:color="auto"/>
        <w:right w:val="none" w:sz="0" w:space="0" w:color="auto"/>
      </w:divBdr>
    </w:div>
    <w:div w:id="1211727161">
      <w:bodyDiv w:val="1"/>
      <w:marLeft w:val="0"/>
      <w:marRight w:val="0"/>
      <w:marTop w:val="0"/>
      <w:marBottom w:val="0"/>
      <w:divBdr>
        <w:top w:val="none" w:sz="0" w:space="0" w:color="auto"/>
        <w:left w:val="none" w:sz="0" w:space="0" w:color="auto"/>
        <w:bottom w:val="none" w:sz="0" w:space="0" w:color="auto"/>
        <w:right w:val="none" w:sz="0" w:space="0" w:color="auto"/>
      </w:divBdr>
    </w:div>
    <w:div w:id="1518038058">
      <w:bodyDiv w:val="1"/>
      <w:marLeft w:val="0"/>
      <w:marRight w:val="0"/>
      <w:marTop w:val="0"/>
      <w:marBottom w:val="0"/>
      <w:divBdr>
        <w:top w:val="none" w:sz="0" w:space="0" w:color="auto"/>
        <w:left w:val="none" w:sz="0" w:space="0" w:color="auto"/>
        <w:bottom w:val="none" w:sz="0" w:space="0" w:color="auto"/>
        <w:right w:val="none" w:sz="0" w:space="0" w:color="auto"/>
      </w:divBdr>
    </w:div>
    <w:div w:id="1738018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edward.north@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lscc</dc:creator>
  <cp:keywords/>
  <dc:description/>
  <cp:lastModifiedBy>Edward North</cp:lastModifiedBy>
  <cp:revision>7</cp:revision>
  <dcterms:created xsi:type="dcterms:W3CDTF">2021-02-25T18:32:00Z</dcterms:created>
  <dcterms:modified xsi:type="dcterms:W3CDTF">2021-02-25T18:52:00Z</dcterms:modified>
</cp:coreProperties>
</file>